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3DE3039F">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77777777" w:rsidR="00660854" w:rsidRPr="00FE1D7A" w:rsidRDefault="00660854" w:rsidP="00660854">
                                <w:pPr>
                                  <w:rPr>
                                    <w:b/>
                                    <w:bCs/>
                                    <w:color w:val="2E74B5"/>
                                    <w:sz w:val="36"/>
                                    <w:szCs w:val="36"/>
                                  </w:rPr>
                                </w:pPr>
                                <w:r w:rsidRPr="00FE1D7A">
                                  <w:rPr>
                                    <w:b/>
                                    <w:bCs/>
                                    <w:color w:val="2E74B5"/>
                                    <w:sz w:val="36"/>
                                    <w:szCs w:val="36"/>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77777777" w:rsidR="00660854" w:rsidRPr="00FE1D7A" w:rsidRDefault="00660854" w:rsidP="00660854">
                          <w:pPr>
                            <w:rPr>
                              <w:b/>
                              <w:bCs/>
                              <w:color w:val="2E74B5"/>
                              <w:sz w:val="36"/>
                              <w:szCs w:val="36"/>
                            </w:rPr>
                          </w:pPr>
                          <w:r w:rsidRPr="00FE1D7A">
                            <w:rPr>
                              <w:b/>
                              <w:bCs/>
                              <w:color w:val="2E74B5"/>
                              <w:sz w:val="36"/>
                              <w:szCs w:val="36"/>
                            </w:rPr>
                            <w:t>October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lastRenderedPageBreak/>
        <w:t>D-R-A-F-T</w:t>
      </w:r>
      <w:r>
        <w:rPr>
          <w:b/>
          <w:sz w:val="28"/>
        </w:rPr>
        <w:br/>
      </w:r>
    </w:p>
    <w:p w14:paraId="6BB27D7E" w14:textId="587D2F53"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t xml:space="preserve">– </w:t>
      </w:r>
      <w:r w:rsidR="0049203C">
        <w:t>8</w:t>
      </w:r>
      <w:r w:rsidR="00454279">
        <w:t>/</w:t>
      </w:r>
      <w:r w:rsidR="004B6002">
        <w:t>1</w:t>
      </w:r>
      <w:r w:rsidR="00D54799">
        <w:t>6/</w:t>
      </w:r>
      <w:r w:rsidR="00454279">
        <w:t>/2024</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40FDF16B" w14:textId="0F789314" w:rsidR="00002914"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83642174" w:history="1">
            <w:r w:rsidR="00002914" w:rsidRPr="0082580E">
              <w:rPr>
                <w:rStyle w:val="Hyperlink"/>
                <w:noProof/>
              </w:rPr>
              <w:t>INTRODUCTION</w:t>
            </w:r>
            <w:r w:rsidR="00002914">
              <w:rPr>
                <w:noProof/>
                <w:webHidden/>
              </w:rPr>
              <w:tab/>
            </w:r>
            <w:r w:rsidR="00002914">
              <w:rPr>
                <w:noProof/>
                <w:webHidden/>
              </w:rPr>
              <w:fldChar w:fldCharType="begin"/>
            </w:r>
            <w:r w:rsidR="00002914">
              <w:rPr>
                <w:noProof/>
                <w:webHidden/>
              </w:rPr>
              <w:instrText xml:space="preserve"> PAGEREF _Toc183642174 \h </w:instrText>
            </w:r>
            <w:r w:rsidR="00002914">
              <w:rPr>
                <w:noProof/>
                <w:webHidden/>
              </w:rPr>
            </w:r>
            <w:r w:rsidR="00002914">
              <w:rPr>
                <w:noProof/>
                <w:webHidden/>
              </w:rPr>
              <w:fldChar w:fldCharType="separate"/>
            </w:r>
            <w:r w:rsidR="00002914">
              <w:rPr>
                <w:noProof/>
                <w:webHidden/>
              </w:rPr>
              <w:t>1</w:t>
            </w:r>
            <w:r w:rsidR="00002914">
              <w:rPr>
                <w:noProof/>
                <w:webHidden/>
              </w:rPr>
              <w:fldChar w:fldCharType="end"/>
            </w:r>
          </w:hyperlink>
        </w:p>
        <w:p w14:paraId="6923776D" w14:textId="3556B789" w:rsidR="00002914" w:rsidRDefault="00002914">
          <w:pPr>
            <w:pStyle w:val="TOC1"/>
            <w:tabs>
              <w:tab w:val="right" w:leader="dot" w:pos="9440"/>
            </w:tabs>
            <w:rPr>
              <w:rFonts w:asciiTheme="minorHAnsi" w:eastAsiaTheme="minorEastAsia" w:hAnsiTheme="minorHAnsi"/>
              <w:noProof/>
              <w:sz w:val="24"/>
              <w:szCs w:val="24"/>
            </w:rPr>
          </w:pPr>
          <w:hyperlink w:anchor="_Toc183642175" w:history="1">
            <w:r w:rsidRPr="0082580E">
              <w:rPr>
                <w:rStyle w:val="Hyperlink"/>
                <w:noProof/>
              </w:rPr>
              <w:t>FLOOD RISK ASSESSMENT METHODLOGY</w:t>
            </w:r>
            <w:r>
              <w:rPr>
                <w:noProof/>
                <w:webHidden/>
              </w:rPr>
              <w:tab/>
            </w:r>
            <w:r>
              <w:rPr>
                <w:noProof/>
                <w:webHidden/>
              </w:rPr>
              <w:fldChar w:fldCharType="begin"/>
            </w:r>
            <w:r>
              <w:rPr>
                <w:noProof/>
                <w:webHidden/>
              </w:rPr>
              <w:instrText xml:space="preserve"> PAGEREF _Toc183642175 \h </w:instrText>
            </w:r>
            <w:r>
              <w:rPr>
                <w:noProof/>
                <w:webHidden/>
              </w:rPr>
            </w:r>
            <w:r>
              <w:rPr>
                <w:noProof/>
                <w:webHidden/>
              </w:rPr>
              <w:fldChar w:fldCharType="separate"/>
            </w:r>
            <w:r>
              <w:rPr>
                <w:noProof/>
                <w:webHidden/>
              </w:rPr>
              <w:t>2</w:t>
            </w:r>
            <w:r>
              <w:rPr>
                <w:noProof/>
                <w:webHidden/>
              </w:rPr>
              <w:fldChar w:fldCharType="end"/>
            </w:r>
          </w:hyperlink>
        </w:p>
        <w:p w14:paraId="10A97D79" w14:textId="625CE2A4" w:rsidR="00002914" w:rsidRDefault="00002914">
          <w:pPr>
            <w:pStyle w:val="TOC1"/>
            <w:tabs>
              <w:tab w:val="right" w:leader="dot" w:pos="9440"/>
            </w:tabs>
            <w:rPr>
              <w:rFonts w:asciiTheme="minorHAnsi" w:eastAsiaTheme="minorEastAsia" w:hAnsiTheme="minorHAnsi"/>
              <w:noProof/>
              <w:sz w:val="24"/>
              <w:szCs w:val="24"/>
            </w:rPr>
          </w:pPr>
          <w:hyperlink w:anchor="_Toc183642176" w:history="1">
            <w:r w:rsidRPr="0082580E">
              <w:rPr>
                <w:rStyle w:val="Hyperlink"/>
                <w:noProof/>
              </w:rPr>
              <w:t>FLOOD RISK CATEGORIES AND INDICATORS</w:t>
            </w:r>
            <w:r>
              <w:rPr>
                <w:noProof/>
                <w:webHidden/>
              </w:rPr>
              <w:tab/>
            </w:r>
            <w:r>
              <w:rPr>
                <w:noProof/>
                <w:webHidden/>
              </w:rPr>
              <w:fldChar w:fldCharType="begin"/>
            </w:r>
            <w:r>
              <w:rPr>
                <w:noProof/>
                <w:webHidden/>
              </w:rPr>
              <w:instrText xml:space="preserve"> PAGEREF _Toc183642176 \h </w:instrText>
            </w:r>
            <w:r>
              <w:rPr>
                <w:noProof/>
                <w:webHidden/>
              </w:rPr>
            </w:r>
            <w:r>
              <w:rPr>
                <w:noProof/>
                <w:webHidden/>
              </w:rPr>
              <w:fldChar w:fldCharType="separate"/>
            </w:r>
            <w:r>
              <w:rPr>
                <w:noProof/>
                <w:webHidden/>
              </w:rPr>
              <w:t>5</w:t>
            </w:r>
            <w:r>
              <w:rPr>
                <w:noProof/>
                <w:webHidden/>
              </w:rPr>
              <w:fldChar w:fldCharType="end"/>
            </w:r>
          </w:hyperlink>
        </w:p>
        <w:p w14:paraId="513F3B83" w14:textId="3FEAA255" w:rsidR="00002914" w:rsidRDefault="00002914">
          <w:pPr>
            <w:pStyle w:val="TOC1"/>
            <w:tabs>
              <w:tab w:val="right" w:leader="dot" w:pos="9440"/>
            </w:tabs>
            <w:rPr>
              <w:rFonts w:asciiTheme="minorHAnsi" w:eastAsiaTheme="minorEastAsia" w:hAnsiTheme="minorHAnsi"/>
              <w:noProof/>
              <w:sz w:val="24"/>
              <w:szCs w:val="24"/>
            </w:rPr>
          </w:pPr>
          <w:hyperlink w:anchor="_Toc183642177" w:history="1">
            <w:r w:rsidRPr="0082580E">
              <w:rPr>
                <w:rStyle w:val="Hyperlink"/>
                <w:noProof/>
              </w:rPr>
              <w:t>RISK FACTORS: DESCRIPTION, RATIONALE, RECOMMENDATIONS, DATA SOURCES</w:t>
            </w:r>
            <w:r>
              <w:rPr>
                <w:noProof/>
                <w:webHidden/>
              </w:rPr>
              <w:tab/>
            </w:r>
            <w:r>
              <w:rPr>
                <w:noProof/>
                <w:webHidden/>
              </w:rPr>
              <w:fldChar w:fldCharType="begin"/>
            </w:r>
            <w:r>
              <w:rPr>
                <w:noProof/>
                <w:webHidden/>
              </w:rPr>
              <w:instrText xml:space="preserve"> PAGEREF _Toc183642177 \h </w:instrText>
            </w:r>
            <w:r>
              <w:rPr>
                <w:noProof/>
                <w:webHidden/>
              </w:rPr>
            </w:r>
            <w:r>
              <w:rPr>
                <w:noProof/>
                <w:webHidden/>
              </w:rPr>
              <w:fldChar w:fldCharType="separate"/>
            </w:r>
            <w:r>
              <w:rPr>
                <w:noProof/>
                <w:webHidden/>
              </w:rPr>
              <w:t>8</w:t>
            </w:r>
            <w:r>
              <w:rPr>
                <w:noProof/>
                <w:webHidden/>
              </w:rPr>
              <w:fldChar w:fldCharType="end"/>
            </w:r>
          </w:hyperlink>
        </w:p>
        <w:p w14:paraId="01DADF0B" w14:textId="1B28735E" w:rsidR="00002914" w:rsidRDefault="00002914">
          <w:pPr>
            <w:pStyle w:val="TOC2"/>
            <w:tabs>
              <w:tab w:val="right" w:leader="dot" w:pos="9440"/>
            </w:tabs>
            <w:rPr>
              <w:rFonts w:asciiTheme="minorHAnsi" w:eastAsiaTheme="minorEastAsia" w:hAnsiTheme="minorHAnsi"/>
              <w:noProof/>
              <w:sz w:val="24"/>
              <w:szCs w:val="24"/>
            </w:rPr>
          </w:pPr>
          <w:hyperlink w:anchor="_Toc183642178" w:history="1">
            <w:r w:rsidRPr="0082580E">
              <w:rPr>
                <w:rStyle w:val="Hyperlink"/>
                <w:noProof/>
              </w:rPr>
              <w:t>Floodplain Area (Acres)</w:t>
            </w:r>
            <w:r>
              <w:rPr>
                <w:noProof/>
                <w:webHidden/>
              </w:rPr>
              <w:tab/>
            </w:r>
            <w:r>
              <w:rPr>
                <w:noProof/>
                <w:webHidden/>
              </w:rPr>
              <w:fldChar w:fldCharType="begin"/>
            </w:r>
            <w:r>
              <w:rPr>
                <w:noProof/>
                <w:webHidden/>
              </w:rPr>
              <w:instrText xml:space="preserve"> PAGEREF _Toc183642178 \h </w:instrText>
            </w:r>
            <w:r>
              <w:rPr>
                <w:noProof/>
                <w:webHidden/>
              </w:rPr>
            </w:r>
            <w:r>
              <w:rPr>
                <w:noProof/>
                <w:webHidden/>
              </w:rPr>
              <w:fldChar w:fldCharType="separate"/>
            </w:r>
            <w:r>
              <w:rPr>
                <w:noProof/>
                <w:webHidden/>
              </w:rPr>
              <w:t>8</w:t>
            </w:r>
            <w:r>
              <w:rPr>
                <w:noProof/>
                <w:webHidden/>
              </w:rPr>
              <w:fldChar w:fldCharType="end"/>
            </w:r>
          </w:hyperlink>
        </w:p>
        <w:p w14:paraId="44AB634A" w14:textId="24433BB1" w:rsidR="00002914" w:rsidRDefault="00002914">
          <w:pPr>
            <w:pStyle w:val="TOC2"/>
            <w:tabs>
              <w:tab w:val="right" w:leader="dot" w:pos="9440"/>
            </w:tabs>
            <w:rPr>
              <w:rFonts w:asciiTheme="minorHAnsi" w:eastAsiaTheme="minorEastAsia" w:hAnsiTheme="minorHAnsi"/>
              <w:noProof/>
              <w:sz w:val="24"/>
              <w:szCs w:val="24"/>
            </w:rPr>
          </w:pPr>
          <w:hyperlink w:anchor="_Toc183642179" w:history="1">
            <w:r w:rsidRPr="0082580E">
              <w:rPr>
                <w:rStyle w:val="Hyperlink"/>
                <w:noProof/>
              </w:rPr>
              <w:t>Floodplain Area Ratio (%)</w:t>
            </w:r>
            <w:r>
              <w:rPr>
                <w:noProof/>
                <w:webHidden/>
              </w:rPr>
              <w:tab/>
            </w:r>
            <w:r>
              <w:rPr>
                <w:noProof/>
                <w:webHidden/>
              </w:rPr>
              <w:fldChar w:fldCharType="begin"/>
            </w:r>
            <w:r>
              <w:rPr>
                <w:noProof/>
                <w:webHidden/>
              </w:rPr>
              <w:instrText xml:space="preserve"> PAGEREF _Toc183642179 \h </w:instrText>
            </w:r>
            <w:r>
              <w:rPr>
                <w:noProof/>
                <w:webHidden/>
              </w:rPr>
            </w:r>
            <w:r>
              <w:rPr>
                <w:noProof/>
                <w:webHidden/>
              </w:rPr>
              <w:fldChar w:fldCharType="separate"/>
            </w:r>
            <w:r>
              <w:rPr>
                <w:noProof/>
                <w:webHidden/>
              </w:rPr>
              <w:t>8</w:t>
            </w:r>
            <w:r>
              <w:rPr>
                <w:noProof/>
                <w:webHidden/>
              </w:rPr>
              <w:fldChar w:fldCharType="end"/>
            </w:r>
          </w:hyperlink>
        </w:p>
        <w:p w14:paraId="7E0CF3DC" w14:textId="053BFE5B" w:rsidR="00002914" w:rsidRDefault="00002914">
          <w:pPr>
            <w:pStyle w:val="TOC2"/>
            <w:tabs>
              <w:tab w:val="right" w:leader="dot" w:pos="9440"/>
            </w:tabs>
            <w:rPr>
              <w:rFonts w:asciiTheme="minorHAnsi" w:eastAsiaTheme="minorEastAsia" w:hAnsiTheme="minorHAnsi"/>
              <w:noProof/>
              <w:sz w:val="24"/>
              <w:szCs w:val="24"/>
            </w:rPr>
          </w:pPr>
          <w:hyperlink w:anchor="_Toc183642180" w:history="1">
            <w:r w:rsidRPr="0082580E">
              <w:rPr>
                <w:rStyle w:val="Hyperlink"/>
                <w:noProof/>
              </w:rPr>
              <w:t>Floodplain Length (Miles)</w:t>
            </w:r>
            <w:r>
              <w:rPr>
                <w:noProof/>
                <w:webHidden/>
              </w:rPr>
              <w:tab/>
            </w:r>
            <w:r>
              <w:rPr>
                <w:noProof/>
                <w:webHidden/>
              </w:rPr>
              <w:fldChar w:fldCharType="begin"/>
            </w:r>
            <w:r>
              <w:rPr>
                <w:noProof/>
                <w:webHidden/>
              </w:rPr>
              <w:instrText xml:space="preserve"> PAGEREF _Toc183642180 \h </w:instrText>
            </w:r>
            <w:r>
              <w:rPr>
                <w:noProof/>
                <w:webHidden/>
              </w:rPr>
            </w:r>
            <w:r>
              <w:rPr>
                <w:noProof/>
                <w:webHidden/>
              </w:rPr>
              <w:fldChar w:fldCharType="separate"/>
            </w:r>
            <w:r>
              <w:rPr>
                <w:noProof/>
                <w:webHidden/>
              </w:rPr>
              <w:t>9</w:t>
            </w:r>
            <w:r>
              <w:rPr>
                <w:noProof/>
                <w:webHidden/>
              </w:rPr>
              <w:fldChar w:fldCharType="end"/>
            </w:r>
          </w:hyperlink>
        </w:p>
        <w:p w14:paraId="51F437EE" w14:textId="63BB9962" w:rsidR="00002914" w:rsidRDefault="00002914">
          <w:pPr>
            <w:pStyle w:val="TOC2"/>
            <w:tabs>
              <w:tab w:val="right" w:leader="dot" w:pos="9440"/>
            </w:tabs>
            <w:rPr>
              <w:rFonts w:asciiTheme="minorHAnsi" w:eastAsiaTheme="minorEastAsia" w:hAnsiTheme="minorHAnsi"/>
              <w:noProof/>
              <w:sz w:val="24"/>
              <w:szCs w:val="24"/>
            </w:rPr>
          </w:pPr>
          <w:hyperlink w:anchor="_Toc183642181" w:history="1">
            <w:r w:rsidRPr="0082580E">
              <w:rPr>
                <w:rStyle w:val="Hyperlink"/>
                <w:noProof/>
              </w:rPr>
              <w:t>Floodplain Length Ratio (Miles/Acre)</w:t>
            </w:r>
            <w:r>
              <w:rPr>
                <w:noProof/>
                <w:webHidden/>
              </w:rPr>
              <w:tab/>
            </w:r>
            <w:r>
              <w:rPr>
                <w:noProof/>
                <w:webHidden/>
              </w:rPr>
              <w:fldChar w:fldCharType="begin"/>
            </w:r>
            <w:r>
              <w:rPr>
                <w:noProof/>
                <w:webHidden/>
              </w:rPr>
              <w:instrText xml:space="preserve"> PAGEREF _Toc183642181 \h </w:instrText>
            </w:r>
            <w:r>
              <w:rPr>
                <w:noProof/>
                <w:webHidden/>
              </w:rPr>
            </w:r>
            <w:r>
              <w:rPr>
                <w:noProof/>
                <w:webHidden/>
              </w:rPr>
              <w:fldChar w:fldCharType="separate"/>
            </w:r>
            <w:r>
              <w:rPr>
                <w:noProof/>
                <w:webHidden/>
              </w:rPr>
              <w:t>9</w:t>
            </w:r>
            <w:r>
              <w:rPr>
                <w:noProof/>
                <w:webHidden/>
              </w:rPr>
              <w:fldChar w:fldCharType="end"/>
            </w:r>
          </w:hyperlink>
        </w:p>
        <w:p w14:paraId="21128CCA" w14:textId="5585FB41" w:rsidR="00002914" w:rsidRDefault="00002914">
          <w:pPr>
            <w:pStyle w:val="TOC2"/>
            <w:tabs>
              <w:tab w:val="right" w:leader="dot" w:pos="9440"/>
            </w:tabs>
            <w:rPr>
              <w:rFonts w:asciiTheme="minorHAnsi" w:eastAsiaTheme="minorEastAsia" w:hAnsiTheme="minorHAnsi"/>
              <w:noProof/>
              <w:sz w:val="24"/>
              <w:szCs w:val="24"/>
            </w:rPr>
          </w:pPr>
          <w:hyperlink w:anchor="_Toc183642182" w:history="1">
            <w:r w:rsidRPr="0082580E">
              <w:rPr>
                <w:rStyle w:val="Hyperlink"/>
                <w:noProof/>
              </w:rPr>
              <w:t>Flood Declared Disasters (#)</w:t>
            </w:r>
            <w:r>
              <w:rPr>
                <w:noProof/>
                <w:webHidden/>
              </w:rPr>
              <w:tab/>
            </w:r>
            <w:r>
              <w:rPr>
                <w:noProof/>
                <w:webHidden/>
              </w:rPr>
              <w:fldChar w:fldCharType="begin"/>
            </w:r>
            <w:r>
              <w:rPr>
                <w:noProof/>
                <w:webHidden/>
              </w:rPr>
              <w:instrText xml:space="preserve"> PAGEREF _Toc183642182 \h </w:instrText>
            </w:r>
            <w:r>
              <w:rPr>
                <w:noProof/>
                <w:webHidden/>
              </w:rPr>
            </w:r>
            <w:r>
              <w:rPr>
                <w:noProof/>
                <w:webHidden/>
              </w:rPr>
              <w:fldChar w:fldCharType="separate"/>
            </w:r>
            <w:r>
              <w:rPr>
                <w:noProof/>
                <w:webHidden/>
              </w:rPr>
              <w:t>10</w:t>
            </w:r>
            <w:r>
              <w:rPr>
                <w:noProof/>
                <w:webHidden/>
              </w:rPr>
              <w:fldChar w:fldCharType="end"/>
            </w:r>
          </w:hyperlink>
        </w:p>
        <w:p w14:paraId="5FAFE75D" w14:textId="66304A1B" w:rsidR="00002914" w:rsidRDefault="00002914">
          <w:pPr>
            <w:pStyle w:val="TOC2"/>
            <w:tabs>
              <w:tab w:val="right" w:leader="dot" w:pos="9440"/>
            </w:tabs>
            <w:rPr>
              <w:rFonts w:asciiTheme="minorHAnsi" w:eastAsiaTheme="minorEastAsia" w:hAnsiTheme="minorHAnsi"/>
              <w:noProof/>
              <w:sz w:val="24"/>
              <w:szCs w:val="24"/>
            </w:rPr>
          </w:pPr>
          <w:hyperlink w:anchor="_Toc183642183" w:history="1">
            <w:r w:rsidRPr="0082580E">
              <w:rPr>
                <w:rStyle w:val="Hyperlink"/>
                <w:noProof/>
              </w:rPr>
              <w:t>Flood Depth Median (Feet)</w:t>
            </w:r>
            <w:r>
              <w:rPr>
                <w:noProof/>
                <w:webHidden/>
              </w:rPr>
              <w:tab/>
            </w:r>
            <w:r>
              <w:rPr>
                <w:noProof/>
                <w:webHidden/>
              </w:rPr>
              <w:fldChar w:fldCharType="begin"/>
            </w:r>
            <w:r>
              <w:rPr>
                <w:noProof/>
                <w:webHidden/>
              </w:rPr>
              <w:instrText xml:space="preserve"> PAGEREF _Toc183642183 \h </w:instrText>
            </w:r>
            <w:r>
              <w:rPr>
                <w:noProof/>
                <w:webHidden/>
              </w:rPr>
            </w:r>
            <w:r>
              <w:rPr>
                <w:noProof/>
                <w:webHidden/>
              </w:rPr>
              <w:fldChar w:fldCharType="separate"/>
            </w:r>
            <w:r>
              <w:rPr>
                <w:noProof/>
                <w:webHidden/>
              </w:rPr>
              <w:t>11</w:t>
            </w:r>
            <w:r>
              <w:rPr>
                <w:noProof/>
                <w:webHidden/>
              </w:rPr>
              <w:fldChar w:fldCharType="end"/>
            </w:r>
          </w:hyperlink>
        </w:p>
        <w:p w14:paraId="7A4BCDA6" w14:textId="4B2EEFF3" w:rsidR="00002914" w:rsidRDefault="00002914">
          <w:pPr>
            <w:pStyle w:val="TOC2"/>
            <w:tabs>
              <w:tab w:val="right" w:leader="dot" w:pos="9440"/>
            </w:tabs>
            <w:rPr>
              <w:rFonts w:asciiTheme="minorHAnsi" w:eastAsiaTheme="minorEastAsia" w:hAnsiTheme="minorHAnsi"/>
              <w:noProof/>
              <w:sz w:val="24"/>
              <w:szCs w:val="24"/>
            </w:rPr>
          </w:pPr>
          <w:hyperlink w:anchor="_Toc183642184" w:history="1">
            <w:r w:rsidRPr="0082580E">
              <w:rPr>
                <w:rStyle w:val="Hyperlink"/>
                <w:noProof/>
              </w:rPr>
              <w:t>Building Floodplain Count (#)</w:t>
            </w:r>
            <w:r>
              <w:rPr>
                <w:noProof/>
                <w:webHidden/>
              </w:rPr>
              <w:tab/>
            </w:r>
            <w:r>
              <w:rPr>
                <w:noProof/>
                <w:webHidden/>
              </w:rPr>
              <w:fldChar w:fldCharType="begin"/>
            </w:r>
            <w:r>
              <w:rPr>
                <w:noProof/>
                <w:webHidden/>
              </w:rPr>
              <w:instrText xml:space="preserve"> PAGEREF _Toc183642184 \h </w:instrText>
            </w:r>
            <w:r>
              <w:rPr>
                <w:noProof/>
                <w:webHidden/>
              </w:rPr>
            </w:r>
            <w:r>
              <w:rPr>
                <w:noProof/>
                <w:webHidden/>
              </w:rPr>
              <w:fldChar w:fldCharType="separate"/>
            </w:r>
            <w:r>
              <w:rPr>
                <w:noProof/>
                <w:webHidden/>
              </w:rPr>
              <w:t>12</w:t>
            </w:r>
            <w:r>
              <w:rPr>
                <w:noProof/>
                <w:webHidden/>
              </w:rPr>
              <w:fldChar w:fldCharType="end"/>
            </w:r>
          </w:hyperlink>
        </w:p>
        <w:p w14:paraId="491D449A" w14:textId="7507570F" w:rsidR="00002914" w:rsidRDefault="00002914">
          <w:pPr>
            <w:pStyle w:val="TOC2"/>
            <w:tabs>
              <w:tab w:val="right" w:leader="dot" w:pos="9440"/>
            </w:tabs>
            <w:rPr>
              <w:rFonts w:asciiTheme="minorHAnsi" w:eastAsiaTheme="minorEastAsia" w:hAnsiTheme="minorHAnsi"/>
              <w:noProof/>
              <w:sz w:val="24"/>
              <w:szCs w:val="24"/>
            </w:rPr>
          </w:pPr>
          <w:hyperlink w:anchor="_Toc183642185" w:history="1">
            <w:r w:rsidRPr="0082580E">
              <w:rPr>
                <w:rStyle w:val="Hyperlink"/>
                <w:noProof/>
              </w:rPr>
              <w:t>Building Floodway Count (#)</w:t>
            </w:r>
            <w:r>
              <w:rPr>
                <w:noProof/>
                <w:webHidden/>
              </w:rPr>
              <w:tab/>
            </w:r>
            <w:r>
              <w:rPr>
                <w:noProof/>
                <w:webHidden/>
              </w:rPr>
              <w:fldChar w:fldCharType="begin"/>
            </w:r>
            <w:r>
              <w:rPr>
                <w:noProof/>
                <w:webHidden/>
              </w:rPr>
              <w:instrText xml:space="preserve"> PAGEREF _Toc183642185 \h </w:instrText>
            </w:r>
            <w:r>
              <w:rPr>
                <w:noProof/>
                <w:webHidden/>
              </w:rPr>
            </w:r>
            <w:r>
              <w:rPr>
                <w:noProof/>
                <w:webHidden/>
              </w:rPr>
              <w:fldChar w:fldCharType="separate"/>
            </w:r>
            <w:r>
              <w:rPr>
                <w:noProof/>
                <w:webHidden/>
              </w:rPr>
              <w:t>13</w:t>
            </w:r>
            <w:r>
              <w:rPr>
                <w:noProof/>
                <w:webHidden/>
              </w:rPr>
              <w:fldChar w:fldCharType="end"/>
            </w:r>
          </w:hyperlink>
        </w:p>
        <w:p w14:paraId="02DDA5FC" w14:textId="4A434C0F" w:rsidR="00002914" w:rsidRDefault="00002914">
          <w:pPr>
            <w:pStyle w:val="TOC2"/>
            <w:tabs>
              <w:tab w:val="right" w:leader="dot" w:pos="9440"/>
            </w:tabs>
            <w:rPr>
              <w:rFonts w:asciiTheme="minorHAnsi" w:eastAsiaTheme="minorEastAsia" w:hAnsiTheme="minorHAnsi"/>
              <w:noProof/>
              <w:sz w:val="24"/>
              <w:szCs w:val="24"/>
            </w:rPr>
          </w:pPr>
          <w:hyperlink w:anchor="_Toc183642186" w:history="1">
            <w:r w:rsidRPr="0082580E">
              <w:rPr>
                <w:rStyle w:val="Hyperlink"/>
                <w:noProof/>
              </w:rPr>
              <w:t>Building Floodplain Ratio (%)</w:t>
            </w:r>
            <w:r>
              <w:rPr>
                <w:noProof/>
                <w:webHidden/>
              </w:rPr>
              <w:tab/>
            </w:r>
            <w:r>
              <w:rPr>
                <w:noProof/>
                <w:webHidden/>
              </w:rPr>
              <w:fldChar w:fldCharType="begin"/>
            </w:r>
            <w:r>
              <w:rPr>
                <w:noProof/>
                <w:webHidden/>
              </w:rPr>
              <w:instrText xml:space="preserve"> PAGEREF _Toc183642186 \h </w:instrText>
            </w:r>
            <w:r>
              <w:rPr>
                <w:noProof/>
                <w:webHidden/>
              </w:rPr>
            </w:r>
            <w:r>
              <w:rPr>
                <w:noProof/>
                <w:webHidden/>
              </w:rPr>
              <w:fldChar w:fldCharType="separate"/>
            </w:r>
            <w:r>
              <w:rPr>
                <w:noProof/>
                <w:webHidden/>
              </w:rPr>
              <w:t>13</w:t>
            </w:r>
            <w:r>
              <w:rPr>
                <w:noProof/>
                <w:webHidden/>
              </w:rPr>
              <w:fldChar w:fldCharType="end"/>
            </w:r>
          </w:hyperlink>
        </w:p>
        <w:p w14:paraId="0C356674" w14:textId="7FB76C53" w:rsidR="00002914" w:rsidRDefault="00002914">
          <w:pPr>
            <w:pStyle w:val="TOC2"/>
            <w:tabs>
              <w:tab w:val="right" w:leader="dot" w:pos="9440"/>
            </w:tabs>
            <w:rPr>
              <w:rFonts w:asciiTheme="minorHAnsi" w:eastAsiaTheme="minorEastAsia" w:hAnsiTheme="minorHAnsi"/>
              <w:noProof/>
              <w:sz w:val="24"/>
              <w:szCs w:val="24"/>
            </w:rPr>
          </w:pPr>
          <w:hyperlink w:anchor="_Toc183642187" w:history="1">
            <w:r w:rsidRPr="0082580E">
              <w:rPr>
                <w:rStyle w:val="Hyperlink"/>
                <w:noProof/>
              </w:rPr>
              <w:t>Building Density (Buildings/Acre)</w:t>
            </w:r>
            <w:r>
              <w:rPr>
                <w:noProof/>
                <w:webHidden/>
              </w:rPr>
              <w:tab/>
            </w:r>
            <w:r>
              <w:rPr>
                <w:noProof/>
                <w:webHidden/>
              </w:rPr>
              <w:fldChar w:fldCharType="begin"/>
            </w:r>
            <w:r>
              <w:rPr>
                <w:noProof/>
                <w:webHidden/>
              </w:rPr>
              <w:instrText xml:space="preserve"> PAGEREF _Toc183642187 \h </w:instrText>
            </w:r>
            <w:r>
              <w:rPr>
                <w:noProof/>
                <w:webHidden/>
              </w:rPr>
            </w:r>
            <w:r>
              <w:rPr>
                <w:noProof/>
                <w:webHidden/>
              </w:rPr>
              <w:fldChar w:fldCharType="separate"/>
            </w:r>
            <w:r>
              <w:rPr>
                <w:noProof/>
                <w:webHidden/>
              </w:rPr>
              <w:t>13</w:t>
            </w:r>
            <w:r>
              <w:rPr>
                <w:noProof/>
                <w:webHidden/>
              </w:rPr>
              <w:fldChar w:fldCharType="end"/>
            </w:r>
          </w:hyperlink>
        </w:p>
        <w:p w14:paraId="77A82291" w14:textId="64A4A1BA" w:rsidR="00002914" w:rsidRDefault="00002914">
          <w:pPr>
            <w:pStyle w:val="TOC2"/>
            <w:tabs>
              <w:tab w:val="right" w:leader="dot" w:pos="9440"/>
            </w:tabs>
            <w:rPr>
              <w:rFonts w:asciiTheme="minorHAnsi" w:eastAsiaTheme="minorEastAsia" w:hAnsiTheme="minorHAnsi"/>
              <w:noProof/>
              <w:sz w:val="24"/>
              <w:szCs w:val="24"/>
            </w:rPr>
          </w:pPr>
          <w:hyperlink w:anchor="_Toc183642188" w:history="1">
            <w:r w:rsidRPr="0082580E">
              <w:rPr>
                <w:rStyle w:val="Hyperlink"/>
                <w:noProof/>
              </w:rPr>
              <w:t>Building Median Value ($)</w:t>
            </w:r>
            <w:r>
              <w:rPr>
                <w:noProof/>
                <w:webHidden/>
              </w:rPr>
              <w:tab/>
            </w:r>
            <w:r>
              <w:rPr>
                <w:noProof/>
                <w:webHidden/>
              </w:rPr>
              <w:fldChar w:fldCharType="begin"/>
            </w:r>
            <w:r>
              <w:rPr>
                <w:noProof/>
                <w:webHidden/>
              </w:rPr>
              <w:instrText xml:space="preserve"> PAGEREF _Toc183642188 \h </w:instrText>
            </w:r>
            <w:r>
              <w:rPr>
                <w:noProof/>
                <w:webHidden/>
              </w:rPr>
            </w:r>
            <w:r>
              <w:rPr>
                <w:noProof/>
                <w:webHidden/>
              </w:rPr>
              <w:fldChar w:fldCharType="separate"/>
            </w:r>
            <w:r>
              <w:rPr>
                <w:noProof/>
                <w:webHidden/>
              </w:rPr>
              <w:t>14</w:t>
            </w:r>
            <w:r>
              <w:rPr>
                <w:noProof/>
                <w:webHidden/>
              </w:rPr>
              <w:fldChar w:fldCharType="end"/>
            </w:r>
          </w:hyperlink>
        </w:p>
        <w:p w14:paraId="08430EE1" w14:textId="2E3E7674" w:rsidR="00002914" w:rsidRDefault="00002914">
          <w:pPr>
            <w:pStyle w:val="TOC2"/>
            <w:tabs>
              <w:tab w:val="right" w:leader="dot" w:pos="9440"/>
            </w:tabs>
            <w:rPr>
              <w:rFonts w:asciiTheme="minorHAnsi" w:eastAsiaTheme="minorEastAsia" w:hAnsiTheme="minorHAnsi"/>
              <w:noProof/>
              <w:sz w:val="24"/>
              <w:szCs w:val="24"/>
            </w:rPr>
          </w:pPr>
          <w:hyperlink w:anchor="_Toc183642189" w:history="1">
            <w:r w:rsidRPr="0082580E">
              <w:rPr>
                <w:rStyle w:val="Hyperlink"/>
                <w:noProof/>
              </w:rPr>
              <w:t>Bldg. Mobile Homes Ratio (%)</w:t>
            </w:r>
            <w:r>
              <w:rPr>
                <w:noProof/>
                <w:webHidden/>
              </w:rPr>
              <w:tab/>
            </w:r>
            <w:r>
              <w:rPr>
                <w:noProof/>
                <w:webHidden/>
              </w:rPr>
              <w:fldChar w:fldCharType="begin"/>
            </w:r>
            <w:r>
              <w:rPr>
                <w:noProof/>
                <w:webHidden/>
              </w:rPr>
              <w:instrText xml:space="preserve"> PAGEREF _Toc183642189 \h </w:instrText>
            </w:r>
            <w:r>
              <w:rPr>
                <w:noProof/>
                <w:webHidden/>
              </w:rPr>
            </w:r>
            <w:r>
              <w:rPr>
                <w:noProof/>
                <w:webHidden/>
              </w:rPr>
              <w:fldChar w:fldCharType="separate"/>
            </w:r>
            <w:r>
              <w:rPr>
                <w:noProof/>
                <w:webHidden/>
              </w:rPr>
              <w:t>15</w:t>
            </w:r>
            <w:r>
              <w:rPr>
                <w:noProof/>
                <w:webHidden/>
              </w:rPr>
              <w:fldChar w:fldCharType="end"/>
            </w:r>
          </w:hyperlink>
        </w:p>
        <w:p w14:paraId="0F9E7BD3" w14:textId="17802987" w:rsidR="00002914" w:rsidRDefault="00002914">
          <w:pPr>
            <w:pStyle w:val="TOC2"/>
            <w:tabs>
              <w:tab w:val="right" w:leader="dot" w:pos="9440"/>
            </w:tabs>
            <w:rPr>
              <w:rFonts w:asciiTheme="minorHAnsi" w:eastAsiaTheme="minorEastAsia" w:hAnsiTheme="minorHAnsi"/>
              <w:noProof/>
              <w:sz w:val="24"/>
              <w:szCs w:val="24"/>
            </w:rPr>
          </w:pPr>
          <w:hyperlink w:anchor="_Toc183642190" w:history="1">
            <w:r w:rsidRPr="0082580E">
              <w:rPr>
                <w:rStyle w:val="Hyperlink"/>
                <w:noProof/>
              </w:rPr>
              <w:t>Bldg. Subgrade Bas</w:t>
            </w:r>
            <w:r w:rsidRPr="0082580E">
              <w:rPr>
                <w:rStyle w:val="Hyperlink"/>
                <w:noProof/>
              </w:rPr>
              <w:t>e</w:t>
            </w:r>
            <w:r w:rsidRPr="0082580E">
              <w:rPr>
                <w:rStyle w:val="Hyperlink"/>
                <w:noProof/>
              </w:rPr>
              <w:t>ments Ratio (%)</w:t>
            </w:r>
            <w:r>
              <w:rPr>
                <w:noProof/>
                <w:webHidden/>
              </w:rPr>
              <w:tab/>
            </w:r>
            <w:r>
              <w:rPr>
                <w:noProof/>
                <w:webHidden/>
              </w:rPr>
              <w:fldChar w:fldCharType="begin"/>
            </w:r>
            <w:r>
              <w:rPr>
                <w:noProof/>
                <w:webHidden/>
              </w:rPr>
              <w:instrText xml:space="preserve"> PAGEREF _Toc183642190 \h </w:instrText>
            </w:r>
            <w:r>
              <w:rPr>
                <w:noProof/>
                <w:webHidden/>
              </w:rPr>
            </w:r>
            <w:r>
              <w:rPr>
                <w:noProof/>
                <w:webHidden/>
              </w:rPr>
              <w:fldChar w:fldCharType="separate"/>
            </w:r>
            <w:r>
              <w:rPr>
                <w:noProof/>
                <w:webHidden/>
              </w:rPr>
              <w:t>16</w:t>
            </w:r>
            <w:r>
              <w:rPr>
                <w:noProof/>
                <w:webHidden/>
              </w:rPr>
              <w:fldChar w:fldCharType="end"/>
            </w:r>
          </w:hyperlink>
        </w:p>
        <w:p w14:paraId="4E00F5F7" w14:textId="519A0226" w:rsidR="00002914" w:rsidRDefault="00002914">
          <w:pPr>
            <w:pStyle w:val="TOC2"/>
            <w:tabs>
              <w:tab w:val="right" w:leader="dot" w:pos="9440"/>
            </w:tabs>
            <w:rPr>
              <w:rFonts w:asciiTheme="minorHAnsi" w:eastAsiaTheme="minorEastAsia" w:hAnsiTheme="minorHAnsi"/>
              <w:noProof/>
              <w:sz w:val="24"/>
              <w:szCs w:val="24"/>
            </w:rPr>
          </w:pPr>
          <w:hyperlink w:anchor="_Toc183642191" w:history="1">
            <w:r w:rsidRPr="0082580E">
              <w:rPr>
                <w:rStyle w:val="Hyperlink"/>
                <w:noProof/>
              </w:rPr>
              <w:t>Building 1-Story Ratio (%)</w:t>
            </w:r>
            <w:r>
              <w:rPr>
                <w:noProof/>
                <w:webHidden/>
              </w:rPr>
              <w:tab/>
            </w:r>
            <w:r>
              <w:rPr>
                <w:noProof/>
                <w:webHidden/>
              </w:rPr>
              <w:fldChar w:fldCharType="begin"/>
            </w:r>
            <w:r>
              <w:rPr>
                <w:noProof/>
                <w:webHidden/>
              </w:rPr>
              <w:instrText xml:space="preserve"> PAGEREF _Toc183642191 \h </w:instrText>
            </w:r>
            <w:r>
              <w:rPr>
                <w:noProof/>
                <w:webHidden/>
              </w:rPr>
            </w:r>
            <w:r>
              <w:rPr>
                <w:noProof/>
                <w:webHidden/>
              </w:rPr>
              <w:fldChar w:fldCharType="separate"/>
            </w:r>
            <w:r>
              <w:rPr>
                <w:noProof/>
                <w:webHidden/>
              </w:rPr>
              <w:t>17</w:t>
            </w:r>
            <w:r>
              <w:rPr>
                <w:noProof/>
                <w:webHidden/>
              </w:rPr>
              <w:fldChar w:fldCharType="end"/>
            </w:r>
          </w:hyperlink>
        </w:p>
        <w:p w14:paraId="15E8D3EF" w14:textId="1FFB1B98" w:rsidR="00002914" w:rsidRDefault="00002914">
          <w:pPr>
            <w:pStyle w:val="TOC2"/>
            <w:tabs>
              <w:tab w:val="right" w:leader="dot" w:pos="9440"/>
            </w:tabs>
            <w:rPr>
              <w:rFonts w:asciiTheme="minorHAnsi" w:eastAsiaTheme="minorEastAsia" w:hAnsiTheme="minorHAnsi"/>
              <w:noProof/>
              <w:sz w:val="24"/>
              <w:szCs w:val="24"/>
            </w:rPr>
          </w:pPr>
          <w:hyperlink w:anchor="_Toc183642192" w:history="1">
            <w:r w:rsidRPr="0082580E">
              <w:rPr>
                <w:rStyle w:val="Hyperlink"/>
                <w:noProof/>
              </w:rPr>
              <w:t>Bldg. Year Pre-FIRM Ratio (%)</w:t>
            </w:r>
            <w:r>
              <w:rPr>
                <w:noProof/>
                <w:webHidden/>
              </w:rPr>
              <w:tab/>
            </w:r>
            <w:r>
              <w:rPr>
                <w:noProof/>
                <w:webHidden/>
              </w:rPr>
              <w:fldChar w:fldCharType="begin"/>
            </w:r>
            <w:r>
              <w:rPr>
                <w:noProof/>
                <w:webHidden/>
              </w:rPr>
              <w:instrText xml:space="preserve"> PAGEREF _Toc183642192 \h </w:instrText>
            </w:r>
            <w:r>
              <w:rPr>
                <w:noProof/>
                <w:webHidden/>
              </w:rPr>
            </w:r>
            <w:r>
              <w:rPr>
                <w:noProof/>
                <w:webHidden/>
              </w:rPr>
              <w:fldChar w:fldCharType="separate"/>
            </w:r>
            <w:r>
              <w:rPr>
                <w:noProof/>
                <w:webHidden/>
              </w:rPr>
              <w:t>17</w:t>
            </w:r>
            <w:r>
              <w:rPr>
                <w:noProof/>
                <w:webHidden/>
              </w:rPr>
              <w:fldChar w:fldCharType="end"/>
            </w:r>
          </w:hyperlink>
        </w:p>
        <w:p w14:paraId="20172B14" w14:textId="182D929A" w:rsidR="00002914" w:rsidRDefault="00002914">
          <w:pPr>
            <w:pStyle w:val="TOC2"/>
            <w:tabs>
              <w:tab w:val="right" w:leader="dot" w:pos="9440"/>
            </w:tabs>
            <w:rPr>
              <w:rFonts w:asciiTheme="minorHAnsi" w:eastAsiaTheme="minorEastAsia" w:hAnsiTheme="minorHAnsi"/>
              <w:noProof/>
              <w:sz w:val="24"/>
              <w:szCs w:val="24"/>
            </w:rPr>
          </w:pPr>
          <w:hyperlink w:anchor="_Toc183642193" w:history="1">
            <w:r w:rsidRPr="0082580E">
              <w:rPr>
                <w:rStyle w:val="Hyperlink"/>
                <w:noProof/>
              </w:rPr>
              <w:t>Bldg. Year Minus Rated Post-FIRM Ratio (%)</w:t>
            </w:r>
            <w:r>
              <w:rPr>
                <w:noProof/>
                <w:webHidden/>
              </w:rPr>
              <w:tab/>
            </w:r>
            <w:r>
              <w:rPr>
                <w:noProof/>
                <w:webHidden/>
              </w:rPr>
              <w:fldChar w:fldCharType="begin"/>
            </w:r>
            <w:r>
              <w:rPr>
                <w:noProof/>
                <w:webHidden/>
              </w:rPr>
              <w:instrText xml:space="preserve"> PAGEREF _Toc183642193 \h </w:instrText>
            </w:r>
            <w:r>
              <w:rPr>
                <w:noProof/>
                <w:webHidden/>
              </w:rPr>
            </w:r>
            <w:r>
              <w:rPr>
                <w:noProof/>
                <w:webHidden/>
              </w:rPr>
              <w:fldChar w:fldCharType="separate"/>
            </w:r>
            <w:r>
              <w:rPr>
                <w:noProof/>
                <w:webHidden/>
              </w:rPr>
              <w:t>18</w:t>
            </w:r>
            <w:r>
              <w:rPr>
                <w:noProof/>
                <w:webHidden/>
              </w:rPr>
              <w:fldChar w:fldCharType="end"/>
            </w:r>
          </w:hyperlink>
        </w:p>
        <w:p w14:paraId="33DC5B09" w14:textId="16E77B58" w:rsidR="00002914" w:rsidRDefault="00002914">
          <w:pPr>
            <w:pStyle w:val="TOC2"/>
            <w:tabs>
              <w:tab w:val="right" w:leader="dot" w:pos="9440"/>
            </w:tabs>
            <w:rPr>
              <w:rFonts w:asciiTheme="minorHAnsi" w:eastAsiaTheme="minorEastAsia" w:hAnsiTheme="minorHAnsi"/>
              <w:noProof/>
              <w:sz w:val="24"/>
              <w:szCs w:val="24"/>
            </w:rPr>
          </w:pPr>
          <w:hyperlink w:anchor="_Toc183642194" w:history="1">
            <w:r w:rsidRPr="0082580E">
              <w:rPr>
                <w:rStyle w:val="Hyperlink"/>
                <w:noProof/>
              </w:rPr>
              <w:t>Infrastructure: Essential Facilities (#)</w:t>
            </w:r>
            <w:r>
              <w:rPr>
                <w:noProof/>
                <w:webHidden/>
              </w:rPr>
              <w:tab/>
            </w:r>
            <w:r>
              <w:rPr>
                <w:noProof/>
                <w:webHidden/>
              </w:rPr>
              <w:fldChar w:fldCharType="begin"/>
            </w:r>
            <w:r>
              <w:rPr>
                <w:noProof/>
                <w:webHidden/>
              </w:rPr>
              <w:instrText xml:space="preserve"> PAGEREF _Toc183642194 \h </w:instrText>
            </w:r>
            <w:r>
              <w:rPr>
                <w:noProof/>
                <w:webHidden/>
              </w:rPr>
            </w:r>
            <w:r>
              <w:rPr>
                <w:noProof/>
                <w:webHidden/>
              </w:rPr>
              <w:fldChar w:fldCharType="separate"/>
            </w:r>
            <w:r>
              <w:rPr>
                <w:noProof/>
                <w:webHidden/>
              </w:rPr>
              <w:t>19</w:t>
            </w:r>
            <w:r>
              <w:rPr>
                <w:noProof/>
                <w:webHidden/>
              </w:rPr>
              <w:fldChar w:fldCharType="end"/>
            </w:r>
          </w:hyperlink>
        </w:p>
        <w:p w14:paraId="279D27A9" w14:textId="380C34B2" w:rsidR="00002914" w:rsidRDefault="00002914">
          <w:pPr>
            <w:pStyle w:val="TOC2"/>
            <w:tabs>
              <w:tab w:val="right" w:leader="dot" w:pos="9440"/>
            </w:tabs>
            <w:rPr>
              <w:rFonts w:asciiTheme="minorHAnsi" w:eastAsiaTheme="minorEastAsia" w:hAnsiTheme="minorHAnsi"/>
              <w:noProof/>
              <w:sz w:val="24"/>
              <w:szCs w:val="24"/>
            </w:rPr>
          </w:pPr>
          <w:hyperlink w:anchor="_Toc183642195" w:history="1">
            <w:r w:rsidRPr="0082580E">
              <w:rPr>
                <w:rStyle w:val="Hyperlink"/>
                <w:noProof/>
              </w:rPr>
              <w:t>Infrastructure: Roads Inundated Ratio (%)</w:t>
            </w:r>
            <w:r>
              <w:rPr>
                <w:noProof/>
                <w:webHidden/>
              </w:rPr>
              <w:tab/>
            </w:r>
            <w:r>
              <w:rPr>
                <w:noProof/>
                <w:webHidden/>
              </w:rPr>
              <w:fldChar w:fldCharType="begin"/>
            </w:r>
            <w:r>
              <w:rPr>
                <w:noProof/>
                <w:webHidden/>
              </w:rPr>
              <w:instrText xml:space="preserve"> PAGEREF _Toc183642195 \h </w:instrText>
            </w:r>
            <w:r>
              <w:rPr>
                <w:noProof/>
                <w:webHidden/>
              </w:rPr>
            </w:r>
            <w:r>
              <w:rPr>
                <w:noProof/>
                <w:webHidden/>
              </w:rPr>
              <w:fldChar w:fldCharType="separate"/>
            </w:r>
            <w:r>
              <w:rPr>
                <w:noProof/>
                <w:webHidden/>
              </w:rPr>
              <w:t>19</w:t>
            </w:r>
            <w:r>
              <w:rPr>
                <w:noProof/>
                <w:webHidden/>
              </w:rPr>
              <w:fldChar w:fldCharType="end"/>
            </w:r>
          </w:hyperlink>
        </w:p>
        <w:p w14:paraId="53074B7F" w14:textId="5B6E4191" w:rsidR="00002914" w:rsidRDefault="00002914">
          <w:pPr>
            <w:pStyle w:val="TOC2"/>
            <w:tabs>
              <w:tab w:val="right" w:leader="dot" w:pos="9440"/>
            </w:tabs>
            <w:rPr>
              <w:rFonts w:asciiTheme="minorHAnsi" w:eastAsiaTheme="minorEastAsia" w:hAnsiTheme="minorHAnsi"/>
              <w:noProof/>
              <w:sz w:val="24"/>
              <w:szCs w:val="24"/>
            </w:rPr>
          </w:pPr>
          <w:hyperlink w:anchor="_Toc183642196" w:history="1">
            <w:r w:rsidRPr="0082580E">
              <w:rPr>
                <w:rStyle w:val="Hyperlink"/>
                <w:noProof/>
              </w:rPr>
              <w:t>Community Assets Historical (#)</w:t>
            </w:r>
            <w:r>
              <w:rPr>
                <w:noProof/>
                <w:webHidden/>
              </w:rPr>
              <w:tab/>
            </w:r>
            <w:r>
              <w:rPr>
                <w:noProof/>
                <w:webHidden/>
              </w:rPr>
              <w:fldChar w:fldCharType="begin"/>
            </w:r>
            <w:r>
              <w:rPr>
                <w:noProof/>
                <w:webHidden/>
              </w:rPr>
              <w:instrText xml:space="preserve"> PAGEREF _Toc183642196 \h </w:instrText>
            </w:r>
            <w:r>
              <w:rPr>
                <w:noProof/>
                <w:webHidden/>
              </w:rPr>
            </w:r>
            <w:r>
              <w:rPr>
                <w:noProof/>
                <w:webHidden/>
              </w:rPr>
              <w:fldChar w:fldCharType="separate"/>
            </w:r>
            <w:r>
              <w:rPr>
                <w:noProof/>
                <w:webHidden/>
              </w:rPr>
              <w:t>20</w:t>
            </w:r>
            <w:r>
              <w:rPr>
                <w:noProof/>
                <w:webHidden/>
              </w:rPr>
              <w:fldChar w:fldCharType="end"/>
            </w:r>
          </w:hyperlink>
        </w:p>
        <w:p w14:paraId="59E81D74" w14:textId="1630FE84" w:rsidR="00002914" w:rsidRDefault="00002914">
          <w:pPr>
            <w:pStyle w:val="TOC2"/>
            <w:tabs>
              <w:tab w:val="right" w:leader="dot" w:pos="9440"/>
            </w:tabs>
            <w:rPr>
              <w:rFonts w:asciiTheme="minorHAnsi" w:eastAsiaTheme="minorEastAsia" w:hAnsiTheme="minorHAnsi"/>
              <w:noProof/>
              <w:sz w:val="24"/>
              <w:szCs w:val="24"/>
            </w:rPr>
          </w:pPr>
          <w:hyperlink w:anchor="_Toc183642197" w:history="1">
            <w:r w:rsidRPr="0082580E">
              <w:rPr>
                <w:rStyle w:val="Hyperlink"/>
                <w:noProof/>
              </w:rPr>
              <w:t>Community Assets Non-Historical (#)</w:t>
            </w:r>
            <w:r>
              <w:rPr>
                <w:noProof/>
                <w:webHidden/>
              </w:rPr>
              <w:tab/>
            </w:r>
            <w:r>
              <w:rPr>
                <w:noProof/>
                <w:webHidden/>
              </w:rPr>
              <w:fldChar w:fldCharType="begin"/>
            </w:r>
            <w:r>
              <w:rPr>
                <w:noProof/>
                <w:webHidden/>
              </w:rPr>
              <w:instrText xml:space="preserve"> PAGEREF _Toc183642197 \h </w:instrText>
            </w:r>
            <w:r>
              <w:rPr>
                <w:noProof/>
                <w:webHidden/>
              </w:rPr>
            </w:r>
            <w:r>
              <w:rPr>
                <w:noProof/>
                <w:webHidden/>
              </w:rPr>
              <w:fldChar w:fldCharType="separate"/>
            </w:r>
            <w:r>
              <w:rPr>
                <w:noProof/>
                <w:webHidden/>
              </w:rPr>
              <w:t>21</w:t>
            </w:r>
            <w:r>
              <w:rPr>
                <w:noProof/>
                <w:webHidden/>
              </w:rPr>
              <w:fldChar w:fldCharType="end"/>
            </w:r>
          </w:hyperlink>
        </w:p>
        <w:p w14:paraId="38BECE92" w14:textId="2C88BE46" w:rsidR="00002914" w:rsidRDefault="00002914">
          <w:pPr>
            <w:pStyle w:val="TOC2"/>
            <w:tabs>
              <w:tab w:val="right" w:leader="dot" w:pos="9440"/>
            </w:tabs>
            <w:rPr>
              <w:rFonts w:asciiTheme="minorHAnsi" w:eastAsiaTheme="minorEastAsia" w:hAnsiTheme="minorHAnsi"/>
              <w:noProof/>
              <w:sz w:val="24"/>
              <w:szCs w:val="24"/>
            </w:rPr>
          </w:pPr>
          <w:hyperlink w:anchor="_Toc183642198" w:history="1">
            <w:r w:rsidRPr="0082580E">
              <w:rPr>
                <w:rStyle w:val="Hyperlink"/>
                <w:noProof/>
              </w:rPr>
              <w:t>Bldg. Substantial Damage Count (#)</w:t>
            </w:r>
            <w:r>
              <w:rPr>
                <w:noProof/>
                <w:webHidden/>
              </w:rPr>
              <w:tab/>
            </w:r>
            <w:r>
              <w:rPr>
                <w:noProof/>
                <w:webHidden/>
              </w:rPr>
              <w:fldChar w:fldCharType="begin"/>
            </w:r>
            <w:r>
              <w:rPr>
                <w:noProof/>
                <w:webHidden/>
              </w:rPr>
              <w:instrText xml:space="preserve"> PAGEREF _Toc183642198 \h </w:instrText>
            </w:r>
            <w:r>
              <w:rPr>
                <w:noProof/>
                <w:webHidden/>
              </w:rPr>
            </w:r>
            <w:r>
              <w:rPr>
                <w:noProof/>
                <w:webHidden/>
              </w:rPr>
              <w:fldChar w:fldCharType="separate"/>
            </w:r>
            <w:r>
              <w:rPr>
                <w:noProof/>
                <w:webHidden/>
              </w:rPr>
              <w:t>22</w:t>
            </w:r>
            <w:r>
              <w:rPr>
                <w:noProof/>
                <w:webHidden/>
              </w:rPr>
              <w:fldChar w:fldCharType="end"/>
            </w:r>
          </w:hyperlink>
        </w:p>
        <w:p w14:paraId="0B07924E" w14:textId="27188708" w:rsidR="00002914" w:rsidRDefault="00002914">
          <w:pPr>
            <w:pStyle w:val="TOC2"/>
            <w:tabs>
              <w:tab w:val="right" w:leader="dot" w:pos="9440"/>
            </w:tabs>
            <w:rPr>
              <w:rFonts w:asciiTheme="minorHAnsi" w:eastAsiaTheme="minorEastAsia" w:hAnsiTheme="minorHAnsi"/>
              <w:noProof/>
              <w:sz w:val="24"/>
              <w:szCs w:val="24"/>
            </w:rPr>
          </w:pPr>
          <w:hyperlink w:anchor="_Toc183642199" w:history="1">
            <w:r w:rsidRPr="0082580E">
              <w:rPr>
                <w:rStyle w:val="Hyperlink"/>
                <w:noProof/>
              </w:rPr>
              <w:t>Bldg. Substantial Damage Ratio (%)</w:t>
            </w:r>
            <w:r>
              <w:rPr>
                <w:noProof/>
                <w:webHidden/>
              </w:rPr>
              <w:tab/>
            </w:r>
            <w:r>
              <w:rPr>
                <w:noProof/>
                <w:webHidden/>
              </w:rPr>
              <w:fldChar w:fldCharType="begin"/>
            </w:r>
            <w:r>
              <w:rPr>
                <w:noProof/>
                <w:webHidden/>
              </w:rPr>
              <w:instrText xml:space="preserve"> PAGEREF _Toc183642199 \h </w:instrText>
            </w:r>
            <w:r>
              <w:rPr>
                <w:noProof/>
                <w:webHidden/>
              </w:rPr>
            </w:r>
            <w:r>
              <w:rPr>
                <w:noProof/>
                <w:webHidden/>
              </w:rPr>
              <w:fldChar w:fldCharType="separate"/>
            </w:r>
            <w:r>
              <w:rPr>
                <w:noProof/>
                <w:webHidden/>
              </w:rPr>
              <w:t>22</w:t>
            </w:r>
            <w:r>
              <w:rPr>
                <w:noProof/>
                <w:webHidden/>
              </w:rPr>
              <w:fldChar w:fldCharType="end"/>
            </w:r>
          </w:hyperlink>
        </w:p>
        <w:p w14:paraId="3C8476F4" w14:textId="7085E5DC" w:rsidR="00002914" w:rsidRDefault="00002914">
          <w:pPr>
            <w:pStyle w:val="TOC2"/>
            <w:tabs>
              <w:tab w:val="right" w:leader="dot" w:pos="9440"/>
            </w:tabs>
            <w:rPr>
              <w:rFonts w:asciiTheme="minorHAnsi" w:eastAsiaTheme="minorEastAsia" w:hAnsiTheme="minorHAnsi"/>
              <w:noProof/>
              <w:sz w:val="24"/>
              <w:szCs w:val="24"/>
            </w:rPr>
          </w:pPr>
          <w:hyperlink w:anchor="_Toc183642200" w:history="1">
            <w:r w:rsidRPr="0082580E">
              <w:rPr>
                <w:rStyle w:val="Hyperlink"/>
                <w:noProof/>
              </w:rPr>
              <w:t>Bldg. Previous Damage Claims (#)</w:t>
            </w:r>
            <w:r>
              <w:rPr>
                <w:noProof/>
                <w:webHidden/>
              </w:rPr>
              <w:tab/>
            </w:r>
            <w:r>
              <w:rPr>
                <w:noProof/>
                <w:webHidden/>
              </w:rPr>
              <w:fldChar w:fldCharType="begin"/>
            </w:r>
            <w:r>
              <w:rPr>
                <w:noProof/>
                <w:webHidden/>
              </w:rPr>
              <w:instrText xml:space="preserve"> PAGEREF _Toc183642200 \h </w:instrText>
            </w:r>
            <w:r>
              <w:rPr>
                <w:noProof/>
                <w:webHidden/>
              </w:rPr>
            </w:r>
            <w:r>
              <w:rPr>
                <w:noProof/>
                <w:webHidden/>
              </w:rPr>
              <w:fldChar w:fldCharType="separate"/>
            </w:r>
            <w:r>
              <w:rPr>
                <w:noProof/>
                <w:webHidden/>
              </w:rPr>
              <w:t>23</w:t>
            </w:r>
            <w:r>
              <w:rPr>
                <w:noProof/>
                <w:webHidden/>
              </w:rPr>
              <w:fldChar w:fldCharType="end"/>
            </w:r>
          </w:hyperlink>
        </w:p>
        <w:p w14:paraId="40D44675" w14:textId="090D7DBA" w:rsidR="00002914" w:rsidRDefault="00002914">
          <w:pPr>
            <w:pStyle w:val="TOC2"/>
            <w:tabs>
              <w:tab w:val="right" w:leader="dot" w:pos="9440"/>
            </w:tabs>
            <w:rPr>
              <w:rFonts w:asciiTheme="minorHAnsi" w:eastAsiaTheme="minorEastAsia" w:hAnsiTheme="minorHAnsi"/>
              <w:noProof/>
              <w:sz w:val="24"/>
              <w:szCs w:val="24"/>
            </w:rPr>
          </w:pPr>
          <w:hyperlink w:anchor="_Toc183642201" w:history="1">
            <w:r w:rsidRPr="0082580E">
              <w:rPr>
                <w:rStyle w:val="Hyperlink"/>
                <w:noProof/>
              </w:rPr>
              <w:t>Bldg. Repetitive Loss Structures (#)</w:t>
            </w:r>
            <w:r>
              <w:rPr>
                <w:noProof/>
                <w:webHidden/>
              </w:rPr>
              <w:tab/>
            </w:r>
            <w:r>
              <w:rPr>
                <w:noProof/>
                <w:webHidden/>
              </w:rPr>
              <w:fldChar w:fldCharType="begin"/>
            </w:r>
            <w:r>
              <w:rPr>
                <w:noProof/>
                <w:webHidden/>
              </w:rPr>
              <w:instrText xml:space="preserve"> PAGEREF _Toc183642201 \h </w:instrText>
            </w:r>
            <w:r>
              <w:rPr>
                <w:noProof/>
                <w:webHidden/>
              </w:rPr>
            </w:r>
            <w:r>
              <w:rPr>
                <w:noProof/>
                <w:webHidden/>
              </w:rPr>
              <w:fldChar w:fldCharType="separate"/>
            </w:r>
            <w:r>
              <w:rPr>
                <w:noProof/>
                <w:webHidden/>
              </w:rPr>
              <w:t>23</w:t>
            </w:r>
            <w:r>
              <w:rPr>
                <w:noProof/>
                <w:webHidden/>
              </w:rPr>
              <w:fldChar w:fldCharType="end"/>
            </w:r>
          </w:hyperlink>
        </w:p>
        <w:p w14:paraId="2A9FCBD9" w14:textId="50AEDC35" w:rsidR="00002914" w:rsidRDefault="00002914">
          <w:pPr>
            <w:pStyle w:val="TOC2"/>
            <w:tabs>
              <w:tab w:val="right" w:leader="dot" w:pos="9440"/>
            </w:tabs>
            <w:rPr>
              <w:rFonts w:asciiTheme="minorHAnsi" w:eastAsiaTheme="minorEastAsia" w:hAnsiTheme="minorHAnsi"/>
              <w:noProof/>
              <w:sz w:val="24"/>
              <w:szCs w:val="24"/>
            </w:rPr>
          </w:pPr>
          <w:hyperlink w:anchor="_Toc183642202" w:history="1">
            <w:r w:rsidRPr="0082580E">
              <w:rPr>
                <w:rStyle w:val="Hyperlink"/>
                <w:noProof/>
              </w:rPr>
              <w:t>Population in Floodplain Ratio (%)</w:t>
            </w:r>
            <w:r>
              <w:rPr>
                <w:noProof/>
                <w:webHidden/>
              </w:rPr>
              <w:tab/>
            </w:r>
            <w:r>
              <w:rPr>
                <w:noProof/>
                <w:webHidden/>
              </w:rPr>
              <w:fldChar w:fldCharType="begin"/>
            </w:r>
            <w:r>
              <w:rPr>
                <w:noProof/>
                <w:webHidden/>
              </w:rPr>
              <w:instrText xml:space="preserve"> PAGEREF _Toc183642202 \h </w:instrText>
            </w:r>
            <w:r>
              <w:rPr>
                <w:noProof/>
                <w:webHidden/>
              </w:rPr>
            </w:r>
            <w:r>
              <w:rPr>
                <w:noProof/>
                <w:webHidden/>
              </w:rPr>
              <w:fldChar w:fldCharType="separate"/>
            </w:r>
            <w:r>
              <w:rPr>
                <w:noProof/>
                <w:webHidden/>
              </w:rPr>
              <w:t>24</w:t>
            </w:r>
            <w:r>
              <w:rPr>
                <w:noProof/>
                <w:webHidden/>
              </w:rPr>
              <w:fldChar w:fldCharType="end"/>
            </w:r>
          </w:hyperlink>
        </w:p>
        <w:p w14:paraId="4F5C1966" w14:textId="35A2E737" w:rsidR="00002914" w:rsidRDefault="00002914">
          <w:pPr>
            <w:pStyle w:val="TOC2"/>
            <w:tabs>
              <w:tab w:val="right" w:leader="dot" w:pos="9440"/>
            </w:tabs>
            <w:rPr>
              <w:rFonts w:asciiTheme="minorHAnsi" w:eastAsiaTheme="minorEastAsia" w:hAnsiTheme="minorHAnsi"/>
              <w:noProof/>
              <w:sz w:val="24"/>
              <w:szCs w:val="24"/>
            </w:rPr>
          </w:pPr>
          <w:hyperlink w:anchor="_Toc183642203" w:history="1">
            <w:r w:rsidRPr="0082580E">
              <w:rPr>
                <w:rStyle w:val="Hyperlink"/>
                <w:noProof/>
              </w:rPr>
              <w:t>Population Displaced Ratio (%)</w:t>
            </w:r>
            <w:r>
              <w:rPr>
                <w:noProof/>
                <w:webHidden/>
              </w:rPr>
              <w:tab/>
            </w:r>
            <w:r>
              <w:rPr>
                <w:noProof/>
                <w:webHidden/>
              </w:rPr>
              <w:fldChar w:fldCharType="begin"/>
            </w:r>
            <w:r>
              <w:rPr>
                <w:noProof/>
                <w:webHidden/>
              </w:rPr>
              <w:instrText xml:space="preserve"> PAGEREF _Toc183642203 \h </w:instrText>
            </w:r>
            <w:r>
              <w:rPr>
                <w:noProof/>
                <w:webHidden/>
              </w:rPr>
            </w:r>
            <w:r>
              <w:rPr>
                <w:noProof/>
                <w:webHidden/>
              </w:rPr>
              <w:fldChar w:fldCharType="separate"/>
            </w:r>
            <w:r>
              <w:rPr>
                <w:noProof/>
                <w:webHidden/>
              </w:rPr>
              <w:t>24</w:t>
            </w:r>
            <w:r>
              <w:rPr>
                <w:noProof/>
                <w:webHidden/>
              </w:rPr>
              <w:fldChar w:fldCharType="end"/>
            </w:r>
          </w:hyperlink>
        </w:p>
        <w:p w14:paraId="1B474888" w14:textId="17E8BB23" w:rsidR="00002914" w:rsidRDefault="00002914">
          <w:pPr>
            <w:pStyle w:val="TOC2"/>
            <w:tabs>
              <w:tab w:val="right" w:leader="dot" w:pos="9440"/>
            </w:tabs>
            <w:rPr>
              <w:rFonts w:asciiTheme="minorHAnsi" w:eastAsiaTheme="minorEastAsia" w:hAnsiTheme="minorHAnsi"/>
              <w:noProof/>
              <w:sz w:val="24"/>
              <w:szCs w:val="24"/>
            </w:rPr>
          </w:pPr>
          <w:hyperlink w:anchor="_Toc183642204" w:history="1">
            <w:r w:rsidRPr="0082580E">
              <w:rPr>
                <w:rStyle w:val="Hyperlink"/>
                <w:noProof/>
              </w:rPr>
              <w:t>WV Social Vulnerability Index (%)</w:t>
            </w:r>
            <w:r>
              <w:rPr>
                <w:noProof/>
                <w:webHidden/>
              </w:rPr>
              <w:tab/>
            </w:r>
            <w:r>
              <w:rPr>
                <w:noProof/>
                <w:webHidden/>
              </w:rPr>
              <w:fldChar w:fldCharType="begin"/>
            </w:r>
            <w:r>
              <w:rPr>
                <w:noProof/>
                <w:webHidden/>
              </w:rPr>
              <w:instrText xml:space="preserve"> PAGEREF _Toc183642204 \h </w:instrText>
            </w:r>
            <w:r>
              <w:rPr>
                <w:noProof/>
                <w:webHidden/>
              </w:rPr>
            </w:r>
            <w:r>
              <w:rPr>
                <w:noProof/>
                <w:webHidden/>
              </w:rPr>
              <w:fldChar w:fldCharType="separate"/>
            </w:r>
            <w:r>
              <w:rPr>
                <w:noProof/>
                <w:webHidden/>
              </w:rPr>
              <w:t>25</w:t>
            </w:r>
            <w:r>
              <w:rPr>
                <w:noProof/>
                <w:webHidden/>
              </w:rPr>
              <w:fldChar w:fldCharType="end"/>
            </w:r>
          </w:hyperlink>
        </w:p>
        <w:p w14:paraId="18B64128" w14:textId="554C0F2C" w:rsidR="00002914" w:rsidRDefault="00002914">
          <w:pPr>
            <w:pStyle w:val="TOC2"/>
            <w:tabs>
              <w:tab w:val="right" w:leader="dot" w:pos="9440"/>
            </w:tabs>
            <w:rPr>
              <w:rFonts w:asciiTheme="minorHAnsi" w:eastAsiaTheme="minorEastAsia" w:hAnsiTheme="minorHAnsi"/>
              <w:noProof/>
              <w:sz w:val="24"/>
              <w:szCs w:val="24"/>
            </w:rPr>
          </w:pPr>
          <w:hyperlink w:anchor="_Toc183642205" w:history="1">
            <w:r w:rsidRPr="0082580E">
              <w:rPr>
                <w:rStyle w:val="Hyperlink"/>
                <w:noProof/>
              </w:rPr>
              <w:t>CUMULATIVE RISK INDEX (%)</w:t>
            </w:r>
            <w:r>
              <w:rPr>
                <w:noProof/>
                <w:webHidden/>
              </w:rPr>
              <w:tab/>
            </w:r>
            <w:r>
              <w:rPr>
                <w:noProof/>
                <w:webHidden/>
              </w:rPr>
              <w:fldChar w:fldCharType="begin"/>
            </w:r>
            <w:r>
              <w:rPr>
                <w:noProof/>
                <w:webHidden/>
              </w:rPr>
              <w:instrText xml:space="preserve"> PAGEREF _Toc183642205 \h </w:instrText>
            </w:r>
            <w:r>
              <w:rPr>
                <w:noProof/>
                <w:webHidden/>
              </w:rPr>
            </w:r>
            <w:r>
              <w:rPr>
                <w:noProof/>
                <w:webHidden/>
              </w:rPr>
              <w:fldChar w:fldCharType="separate"/>
            </w:r>
            <w:r>
              <w:rPr>
                <w:noProof/>
                <w:webHidden/>
              </w:rPr>
              <w:t>26</w:t>
            </w:r>
            <w:r>
              <w:rPr>
                <w:noProof/>
                <w:webHidden/>
              </w:rPr>
              <w:fldChar w:fldCharType="end"/>
            </w:r>
          </w:hyperlink>
        </w:p>
        <w:p w14:paraId="22EE5467" w14:textId="57D245A4" w:rsidR="00002914" w:rsidRDefault="00002914">
          <w:pPr>
            <w:pStyle w:val="TOC1"/>
            <w:tabs>
              <w:tab w:val="right" w:leader="dot" w:pos="9440"/>
            </w:tabs>
            <w:rPr>
              <w:rFonts w:asciiTheme="minorHAnsi" w:eastAsiaTheme="minorEastAsia" w:hAnsiTheme="minorHAnsi"/>
              <w:noProof/>
              <w:sz w:val="24"/>
              <w:szCs w:val="24"/>
            </w:rPr>
          </w:pPr>
          <w:hyperlink w:anchor="_Toc183642206" w:history="1">
            <w:r w:rsidRPr="0082580E">
              <w:rPr>
                <w:rStyle w:val="Hyperlink"/>
                <w:noProof/>
              </w:rPr>
              <w:t>APPENDIX A: WV SVI Indicators and Descriptions</w:t>
            </w:r>
            <w:r>
              <w:rPr>
                <w:noProof/>
                <w:webHidden/>
              </w:rPr>
              <w:tab/>
            </w:r>
            <w:r>
              <w:rPr>
                <w:noProof/>
                <w:webHidden/>
              </w:rPr>
              <w:fldChar w:fldCharType="begin"/>
            </w:r>
            <w:r>
              <w:rPr>
                <w:noProof/>
                <w:webHidden/>
              </w:rPr>
              <w:instrText xml:space="preserve"> PAGEREF _Toc183642206 \h </w:instrText>
            </w:r>
            <w:r>
              <w:rPr>
                <w:noProof/>
                <w:webHidden/>
              </w:rPr>
            </w:r>
            <w:r>
              <w:rPr>
                <w:noProof/>
                <w:webHidden/>
              </w:rPr>
              <w:fldChar w:fldCharType="separate"/>
            </w:r>
            <w:r>
              <w:rPr>
                <w:noProof/>
                <w:webHidden/>
              </w:rPr>
              <w:t>27</w:t>
            </w:r>
            <w:r>
              <w:rPr>
                <w:noProof/>
                <w:webHidden/>
              </w:rPr>
              <w:fldChar w:fldCharType="end"/>
            </w:r>
          </w:hyperlink>
        </w:p>
        <w:p w14:paraId="2F2818EB" w14:textId="2C28C817"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83642174"/>
      <w:r>
        <w:lastRenderedPageBreak/>
        <w:t>INTRODUCTION</w:t>
      </w:r>
      <w:bookmarkEnd w:id="1"/>
    </w:p>
    <w:p w14:paraId="18E2B1AF" w14:textId="77777777" w:rsidR="00454279" w:rsidRDefault="00454279" w:rsidP="00454279"/>
    <w:p w14:paraId="508E9766" w14:textId="42319DDC" w:rsidR="003B705C"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05176CAF" w14:textId="77777777" w:rsidR="0051511A" w:rsidRDefault="0051511A" w:rsidP="000906F1">
      <w:pPr>
        <w:spacing w:line="240" w:lineRule="auto"/>
      </w:pP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83642175"/>
      <w:r w:rsidRPr="000906F1">
        <w:rPr>
          <w:szCs w:val="28"/>
        </w:rPr>
        <w:lastRenderedPageBreak/>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7159EBC5"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0B732A35"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web reports are generated for each geographic scale.  Pre-defined report types are as follows. </w:t>
      </w:r>
    </w:p>
    <w:p w14:paraId="2232F22F" w14:textId="23B8ED33" w:rsidR="003953D1" w:rsidRPr="00B0085F" w:rsidRDefault="003953D1" w:rsidP="00B0085F">
      <w:pPr>
        <w:pStyle w:val="ListParagraph"/>
        <w:numPr>
          <w:ilvl w:val="0"/>
          <w:numId w:val="6"/>
        </w:numPr>
        <w:spacing w:line="240" w:lineRule="auto"/>
        <w:rPr>
          <w:rFonts w:cs="Calibri"/>
          <w:bCs/>
        </w:rPr>
      </w:pPr>
      <w:r w:rsidRPr="00B0085F">
        <w:rPr>
          <w:rFonts w:cs="Calibri"/>
          <w:bCs/>
        </w:rPr>
        <w:t>Single Geographic Entity</w:t>
      </w:r>
      <w:r w:rsidR="00B86142" w:rsidRPr="00B0085F">
        <w:rPr>
          <w:rFonts w:cs="Calibri"/>
          <w:bCs/>
        </w:rPr>
        <w:t xml:space="preserve"> (all scales)</w:t>
      </w:r>
    </w:p>
    <w:p w14:paraId="46CB1F5C" w14:textId="7EAB688B"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High </w:t>
      </w:r>
      <w:r w:rsidR="003953D1" w:rsidRPr="00B0085F">
        <w:rPr>
          <w:rFonts w:cs="Calibri"/>
          <w:bCs/>
        </w:rPr>
        <w:t xml:space="preserve">Risk Indicator Report </w:t>
      </w:r>
      <w:r w:rsidR="00B86142" w:rsidRPr="00B0085F">
        <w:rPr>
          <w:rFonts w:cs="Calibri"/>
          <w:bCs/>
        </w:rPr>
        <w:t>–</w:t>
      </w:r>
      <w:r w:rsidR="003953D1" w:rsidRPr="00B0085F">
        <w:rPr>
          <w:rFonts w:cs="Calibri"/>
          <w:bCs/>
        </w:rPr>
        <w:t xml:space="preserve"> </w:t>
      </w:r>
      <w:r w:rsidR="00B86142" w:rsidRPr="00B0085F">
        <w:rPr>
          <w:rFonts w:cs="Calibri"/>
          <w:bCs/>
        </w:rPr>
        <w:t xml:space="preserve">Only the Top 20% Risk Indicators shown. </w:t>
      </w:r>
    </w:p>
    <w:p w14:paraId="42DF9986" w14:textId="45E06ABA"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All </w:t>
      </w:r>
      <w:r w:rsidR="003953D1" w:rsidRPr="00B0085F">
        <w:rPr>
          <w:rFonts w:cs="Calibri"/>
          <w:bCs/>
        </w:rPr>
        <w:t>Risk Indicator</w:t>
      </w:r>
      <w:r w:rsidR="00B928BC">
        <w:rPr>
          <w:rFonts w:cs="Calibri"/>
          <w:bCs/>
        </w:rPr>
        <w:t>s</w:t>
      </w:r>
      <w:r w:rsidR="003953D1" w:rsidRPr="00B0085F">
        <w:rPr>
          <w:rFonts w:cs="Calibri"/>
          <w:bCs/>
        </w:rPr>
        <w:t xml:space="preserve"> Report </w:t>
      </w:r>
      <w:r w:rsidR="00B86142" w:rsidRPr="00B0085F">
        <w:rPr>
          <w:rFonts w:cs="Calibri"/>
          <w:bCs/>
        </w:rPr>
        <w:t>–</w:t>
      </w:r>
      <w:r w:rsidR="003953D1" w:rsidRPr="00B0085F">
        <w:rPr>
          <w:rFonts w:cs="Calibri"/>
          <w:bCs/>
        </w:rPr>
        <w:t xml:space="preserve"> All Risk Indicators</w:t>
      </w:r>
    </w:p>
    <w:p w14:paraId="5C06FA13" w14:textId="2903FF32" w:rsidR="00CD6E17" w:rsidRDefault="003953D1" w:rsidP="00B0085F">
      <w:pPr>
        <w:pStyle w:val="ListParagraph"/>
        <w:numPr>
          <w:ilvl w:val="1"/>
          <w:numId w:val="6"/>
        </w:numPr>
        <w:spacing w:line="240" w:lineRule="auto"/>
        <w:ind w:left="1080"/>
        <w:rPr>
          <w:rFonts w:cs="Calibri"/>
          <w:bCs/>
        </w:rPr>
      </w:pPr>
      <w:r w:rsidRPr="00B0085F">
        <w:rPr>
          <w:rFonts w:cs="Calibri"/>
          <w:bCs/>
        </w:rPr>
        <w:t>Full Risk</w:t>
      </w:r>
      <w:r w:rsidR="00B0085F">
        <w:rPr>
          <w:rFonts w:cs="Calibri"/>
          <w:bCs/>
        </w:rPr>
        <w:t xml:space="preserve"> Assessment</w:t>
      </w:r>
      <w:r w:rsidRPr="00B0085F">
        <w:rPr>
          <w:rFonts w:cs="Calibri"/>
          <w:bCs/>
        </w:rPr>
        <w:t xml:space="preserve"> Report – All Risk Indicators and Supplemental Information</w:t>
      </w:r>
    </w:p>
    <w:p w14:paraId="57322939" w14:textId="1C95850A" w:rsidR="003953D1" w:rsidRPr="00B0085F" w:rsidRDefault="00CD6E17" w:rsidP="00B0085F">
      <w:pPr>
        <w:pStyle w:val="ListParagraph"/>
        <w:numPr>
          <w:ilvl w:val="1"/>
          <w:numId w:val="6"/>
        </w:numPr>
        <w:spacing w:line="240" w:lineRule="auto"/>
        <w:ind w:left="1080"/>
        <w:rPr>
          <w:rFonts w:cs="Calibri"/>
          <w:bCs/>
        </w:rPr>
      </w:pPr>
      <w:r>
        <w:rPr>
          <w:rFonts w:cs="Calibri"/>
          <w:bCs/>
        </w:rPr>
        <w:t>Building-Level Report (Top Building Rankings – Value, Depth, Damage, Minus-Rated)</w:t>
      </w:r>
      <w:r w:rsidR="003953D1" w:rsidRPr="00B0085F">
        <w:rPr>
          <w:rFonts w:cs="Calibri"/>
          <w:bCs/>
        </w:rPr>
        <w:br/>
      </w:r>
    </w:p>
    <w:p w14:paraId="5CA76488" w14:textId="20B744F2" w:rsidR="003953D1" w:rsidRPr="00B0085F" w:rsidRDefault="00A104B3" w:rsidP="00B0085F">
      <w:pPr>
        <w:pStyle w:val="ListParagraph"/>
        <w:numPr>
          <w:ilvl w:val="0"/>
          <w:numId w:val="6"/>
        </w:numPr>
        <w:spacing w:line="240" w:lineRule="auto"/>
        <w:rPr>
          <w:rFonts w:cs="Calibri"/>
          <w:bCs/>
        </w:rPr>
      </w:pPr>
      <w:r w:rsidRPr="00B0085F">
        <w:rPr>
          <w:rFonts w:cs="Calibri"/>
          <w:bCs/>
        </w:rPr>
        <w:t>Comparison Risk Indicator Report</w:t>
      </w:r>
      <w:r w:rsidR="00B86142" w:rsidRPr="00B0085F">
        <w:rPr>
          <w:rFonts w:cs="Calibri"/>
          <w:bCs/>
        </w:rPr>
        <w:t xml:space="preserve"> (all scales)</w:t>
      </w:r>
      <w:r w:rsidR="00930E08">
        <w:rPr>
          <w:rFonts w:cs="Calibri"/>
          <w:bCs/>
        </w:rPr>
        <w:t>.  Compares selected geographic unit with highest to lowest risk communities.</w:t>
      </w:r>
      <w:r w:rsidR="00B86142" w:rsidRPr="00B0085F">
        <w:rPr>
          <w:rFonts w:cs="Calibri"/>
          <w:bCs/>
        </w:rPr>
        <w:t xml:space="preserve"> </w:t>
      </w:r>
    </w:p>
    <w:p w14:paraId="7E677B5D" w14:textId="77777777" w:rsidR="00B928BC" w:rsidRDefault="00B928BC" w:rsidP="00B0085F">
      <w:pPr>
        <w:spacing w:line="240" w:lineRule="auto"/>
        <w:rPr>
          <w:rFonts w:cs="Calibri"/>
          <w:b/>
        </w:rPr>
      </w:pPr>
    </w:p>
    <w:p w14:paraId="1F96435A" w14:textId="77E09956"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must contain the </w:t>
      </w:r>
      <w:r w:rsidR="004A32D8">
        <w:rPr>
          <w:rFonts w:cs="Calibri"/>
          <w:bCs/>
        </w:rPr>
        <w:t xml:space="preserve">(1) </w:t>
      </w:r>
      <w:r w:rsidR="005A5424">
        <w:rPr>
          <w:rFonts w:cs="Calibri"/>
          <w:bCs/>
        </w:rPr>
        <w:t>report type</w:t>
      </w:r>
      <w:r w:rsidR="004A32D8">
        <w:rPr>
          <w:rFonts w:cs="Calibri"/>
          <w:bCs/>
        </w:rPr>
        <w:t xml:space="preserve">, (2) </w:t>
      </w:r>
      <w:r w:rsidR="005A5424">
        <w:rPr>
          <w:rFonts w:cs="Calibri"/>
          <w:bCs/>
        </w:rPr>
        <w:t>geographic feature identifier</w:t>
      </w:r>
      <w:r w:rsidR="004A32D8">
        <w:rPr>
          <w:rFonts w:cs="Calibri"/>
          <w:bCs/>
        </w:rPr>
        <w:t xml:space="preserve"> (CID, FIPS, HUC8, or Stream Name), and (3) scale level (M-Munipalities/Incorporated Place, U-Unincorporated Area, CID-Community, C-County, R-Regional Council, ST-WV-State, W-Watershed, S-Stream/River. </w:t>
      </w:r>
      <w:r w:rsidR="00B86142">
        <w:rPr>
          <w:rFonts w:cs="Calibri"/>
          <w:b/>
          <w:bCs/>
          <w:sz w:val="24"/>
          <w:szCs w:val="24"/>
        </w:rPr>
        <w:br w:type="page"/>
      </w:r>
    </w:p>
    <w:p w14:paraId="4C2B38E0" w14:textId="697A9AEC"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83642176"/>
      <w:r>
        <w:lastRenderedPageBreak/>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 xml:space="preserve">the </w:t>
      </w:r>
      <w:proofErr w:type="gramStart"/>
      <w:r w:rsidR="000772D0">
        <w:rPr>
          <w:rFonts w:cs="Calibri"/>
        </w:rPr>
        <w:t>Building</w:t>
      </w:r>
      <w:proofErr w:type="gramEnd"/>
      <w:r w:rsidR="000772D0">
        <w:rPr>
          <w:rFonts w:cs="Calibri"/>
        </w:rPr>
        <w:t>-Level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 xml:space="preserve">minus rated </w:t>
      </w:r>
      <w:proofErr w:type="gramStart"/>
      <w:r>
        <w:rPr>
          <w:rFonts w:cs="Calibri"/>
        </w:rPr>
        <w:t>Post-FIRM</w:t>
      </w:r>
      <w:proofErr w:type="gramEnd"/>
      <w:r>
        <w:rPr>
          <w:rFonts w:cs="Calibri"/>
        </w:rPr>
        <w:t xml:space="preserve">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lastRenderedPageBreak/>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83642177"/>
      <w:r>
        <w:lastRenderedPageBreak/>
        <w:t>RISK FACTORS: DESCRIPTION, RATIONALE, RECOMMENDATIONS, DATA SOURCES</w:t>
      </w:r>
      <w:bookmarkEnd w:id="4"/>
      <w:r>
        <w:t xml:space="preserve"> </w:t>
      </w:r>
    </w:p>
    <w:p w14:paraId="6FB27B26" w14:textId="77777777" w:rsidR="00ED7339" w:rsidRDefault="00ED7339"/>
    <w:tbl>
      <w:tblPr>
        <w:tblStyle w:val="TableGrid"/>
        <w:tblW w:w="9738" w:type="dxa"/>
        <w:tblLook w:val="04A0" w:firstRow="1" w:lastRow="0" w:firstColumn="1" w:lastColumn="0" w:noHBand="0" w:noVBand="1"/>
      </w:tblPr>
      <w:tblGrid>
        <w:gridCol w:w="4945"/>
        <w:gridCol w:w="4793"/>
      </w:tblGrid>
      <w:tr w:rsidR="007E04A4" w:rsidRPr="00340C36" w14:paraId="71E5361D" w14:textId="77777777" w:rsidTr="001D62C8">
        <w:tc>
          <w:tcPr>
            <w:tcW w:w="9738" w:type="dxa"/>
            <w:gridSpan w:val="2"/>
            <w:shd w:val="clear" w:color="auto" w:fill="F2F2F2" w:themeFill="background1" w:themeFillShade="F2"/>
          </w:tcPr>
          <w:p w14:paraId="18621526" w14:textId="77777777" w:rsidR="00EB7220" w:rsidRDefault="00EB7220" w:rsidP="0080249C">
            <w:pPr>
              <w:rPr>
                <w:rStyle w:val="Heading2Char"/>
              </w:rPr>
            </w:pPr>
            <w:bookmarkStart w:id="5" w:name="_Toc183642178"/>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6961C2">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6961C2">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46EB2F0C" w14:textId="77777777" w:rsidR="006961C2"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p w14:paraId="7D9C48BD" w14:textId="77777777" w:rsidR="00120B95" w:rsidRDefault="00120B95" w:rsidP="0080249C">
            <w:pPr>
              <w:rPr>
                <w:rFonts w:cs="Calibri"/>
              </w:rPr>
            </w:pPr>
          </w:p>
          <w:p w14:paraId="115970B1" w14:textId="2791DAD0" w:rsidR="00120B95" w:rsidRPr="00340C36" w:rsidRDefault="00120B95" w:rsidP="0080249C">
            <w:pPr>
              <w:rPr>
                <w:rFonts w:cs="Calibri"/>
              </w:rPr>
            </w:pPr>
            <w:r>
              <w:rPr>
                <w:rFonts w:cs="Calibri"/>
              </w:rPr>
              <w:t>Flood visualizations are effective in communicating floodprone areas and flood depths to the public.</w:t>
            </w:r>
          </w:p>
        </w:tc>
      </w:tr>
      <w:tr w:rsidR="006961C2" w:rsidRPr="00340C36" w14:paraId="1A081D8C" w14:textId="77777777" w:rsidTr="001D62C8">
        <w:tc>
          <w:tcPr>
            <w:tcW w:w="9738"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83642179"/>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0D5DE945" w14:textId="77777777" w:rsidR="006961C2" w:rsidRDefault="006961C2" w:rsidP="0080249C">
            <w:pPr>
              <w:rPr>
                <w:rFonts w:eastAsia="Times New Roman" w:cs="Calibri"/>
                <w:color w:val="000000"/>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p w14:paraId="0B9D1810" w14:textId="77777777" w:rsidR="006C32D0" w:rsidRDefault="006C32D0" w:rsidP="0080249C">
            <w:pPr>
              <w:rPr>
                <w:rFonts w:eastAsia="Times New Roman" w:cs="Calibri"/>
                <w:color w:val="000000"/>
              </w:rPr>
            </w:pPr>
          </w:p>
          <w:p w14:paraId="54CB9B5E" w14:textId="4EEF0C61" w:rsidR="006C32D0" w:rsidRPr="00340C36" w:rsidRDefault="006C32D0" w:rsidP="006C32D0">
            <w:pPr>
              <w:rPr>
                <w:rFonts w:cs="Calibri"/>
              </w:rPr>
            </w:pPr>
            <w:r w:rsidRPr="006C32D0">
              <w:t>Additionally, the small urban centers in the bottomlands are often surrounded by large tracts of steep slopes and rugged terrain, and typically owned by large corporations associated with the extraction or tourism industries.  Consequently, these communities are restricted by their available open space within their municipal boundaries in developing or relocating manmade infrastructure outside the floodplains.</w:t>
            </w:r>
            <w:r>
              <w:t xml:space="preserve"> </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lastRenderedPageBreak/>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83642180"/>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83642181"/>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83642182"/>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A351360"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w:t>
            </w:r>
            <w:r w:rsidR="003A1F30">
              <w:rPr>
                <w:rFonts w:eastAsia="Times New Roman" w:cs="Calibri"/>
                <w:color w:val="000000"/>
                <w:kern w:val="0"/>
                <w14:ligatures w14:val="none"/>
              </w:rPr>
              <w:t xml:space="preserve"> data,</w:t>
            </w:r>
            <w:r w:rsidRPr="000531FD">
              <w:rPr>
                <w:rFonts w:eastAsia="Times New Roman" w:cs="Calibri"/>
                <w:color w:val="000000"/>
                <w:kern w:val="0"/>
                <w14:ligatures w14:val="none"/>
              </w:rPr>
              <w:t xml:space="preserve"> including high water marks</w:t>
            </w:r>
            <w:r w:rsidR="003A1F30">
              <w:rPr>
                <w:rFonts w:eastAsia="Times New Roman" w:cs="Calibri"/>
                <w:color w:val="000000"/>
                <w:kern w:val="0"/>
                <w14:ligatures w14:val="none"/>
              </w:rPr>
              <w:t>,</w:t>
            </w:r>
            <w:r w:rsidRPr="000531FD">
              <w:rPr>
                <w:rFonts w:eastAsia="Times New Roman" w:cs="Calibri"/>
                <w:color w:val="000000"/>
                <w:kern w:val="0"/>
                <w14:ligatures w14:val="none"/>
              </w:rPr>
              <w:t xml:space="preserve">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1388CD34"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xml:space="preserve">.  Additionally, </w:t>
            </w:r>
            <w:r w:rsidR="003A1F30">
              <w:rPr>
                <w:rFonts w:eastAsia="Times New Roman" w:cs="Calibri"/>
                <w:color w:val="000000"/>
                <w:kern w:val="0"/>
                <w14:ligatures w14:val="none"/>
              </w:rPr>
              <w:t>any</w:t>
            </w:r>
            <w:r w:rsidR="00A74BBD" w:rsidRPr="000531FD">
              <w:rPr>
                <w:rFonts w:eastAsia="Times New Roman" w:cs="Calibri"/>
                <w:color w:val="000000"/>
                <w:kern w:val="0"/>
                <w14:ligatures w14:val="none"/>
              </w:rPr>
              <w:t xml:space="preserve"> structural and non-structural </w:t>
            </w:r>
            <w:r w:rsidR="003A1F30">
              <w:rPr>
                <w:rFonts w:eastAsia="Times New Roman" w:cs="Calibri"/>
                <w:color w:val="000000"/>
                <w:kern w:val="0"/>
                <w14:ligatures w14:val="none"/>
              </w:rPr>
              <w:t xml:space="preserve">mitigation </w:t>
            </w:r>
            <w:r w:rsidR="00A74BBD" w:rsidRPr="000531FD">
              <w:rPr>
                <w:rFonts w:eastAsia="Times New Roman" w:cs="Calibri"/>
                <w:color w:val="000000"/>
                <w:kern w:val="0"/>
                <w14:ligatures w14:val="none"/>
              </w:rPr>
              <w:t>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83642183"/>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170439B0" w14:textId="77777777" w:rsidR="006961C2"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p w14:paraId="7FB6B773" w14:textId="77777777" w:rsidR="00120B95" w:rsidRDefault="00120B95" w:rsidP="0080249C">
            <w:pPr>
              <w:rPr>
                <w:rFonts w:cs="Calibri"/>
              </w:rPr>
            </w:pPr>
          </w:p>
          <w:p w14:paraId="0CBF0A02" w14:textId="11555D2A" w:rsidR="00120B95" w:rsidRPr="00340C36" w:rsidRDefault="00120B95" w:rsidP="0080249C">
            <w:pPr>
              <w:rPr>
                <w:rFonts w:cs="Calibri"/>
              </w:rPr>
            </w:pPr>
            <w:r>
              <w:rPr>
                <w:rFonts w:cs="Calibri"/>
              </w:rPr>
              <w:t xml:space="preserve">Flood visualizations consisting of drone video, 3D animated movies, viewshed maps, building flood profiles, high-water marks, and story maps are effective tools for communicating flood risk. </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83642184"/>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0DC3B582"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higher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668925C3"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77777777"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40DE19BF" w:rsidR="00513C56" w:rsidRPr="00340C36" w:rsidRDefault="00EB7220" w:rsidP="0080249C">
            <w:pPr>
              <w:rPr>
                <w:rFonts w:cs="Calibri"/>
              </w:rPr>
            </w:pPr>
            <w:bookmarkStart w:id="12" w:name="_Toc183642185"/>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w:t>
            </w:r>
            <w:r w:rsidR="003A3E89">
              <w:rPr>
                <w:rFonts w:cs="Calibri"/>
              </w:rPr>
              <w:t xml:space="preserve"> (main river channel)</w:t>
            </w:r>
            <w:r w:rsidR="00513C56" w:rsidRPr="00340C36">
              <w:rPr>
                <w:rFonts w:cs="Calibri"/>
              </w:rPr>
              <w:t xml:space="preserve">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06CFF8B6" w:rsidR="00513C56" w:rsidRPr="00340C36" w:rsidRDefault="00660BAC" w:rsidP="0080249C">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00513C56"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305B447A"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w:t>
            </w:r>
            <w:r w:rsidR="003F5CE7" w:rsidRPr="00340C36">
              <w:rPr>
                <w:rFonts w:eastAsia="Times New Roman" w:cs="Calibri"/>
                <w:color w:val="000000"/>
              </w:rPr>
              <w:t>federally backed</w:t>
            </w:r>
            <w:r w:rsidRPr="00340C36">
              <w:rPr>
                <w:rFonts w:eastAsia="Times New Roman" w:cs="Calibri"/>
                <w:color w:val="000000"/>
              </w:rPr>
              <w:t xml:space="preserve">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27C41FBF" w:rsidR="00513C56" w:rsidRPr="00340C36" w:rsidRDefault="003A3E89" w:rsidP="0080249C">
            <w:pPr>
              <w:rPr>
                <w:rFonts w:cs="Calibri"/>
              </w:rPr>
            </w:pPr>
            <w:r w:rsidRPr="003A3E89">
              <w:rPr>
                <w:rFonts w:cs="Calibri"/>
              </w:rPr>
              <w:t xml:space="preserve">Since structures </w:t>
            </w:r>
            <w:r>
              <w:rPr>
                <w:rFonts w:cs="Calibri"/>
              </w:rPr>
              <w:t>are in the</w:t>
            </w:r>
            <w:r w:rsidRPr="003A3E89">
              <w:rPr>
                <w:rFonts w:cs="Calibri"/>
              </w:rPr>
              <w:t xml:space="preserve"> Regulatory Floodway are subject to the greatest flood depths, highest velocities, and greatest debris potential</w:t>
            </w:r>
            <w:r>
              <w:rPr>
                <w:rFonts w:cs="Calibri"/>
              </w:rPr>
              <w:t>, c</w:t>
            </w:r>
            <w:r w:rsidR="00513C56" w:rsidRPr="00340C36">
              <w:rPr>
                <w:rFonts w:cs="Calibri"/>
              </w:rPr>
              <w:t xml:space="preserve">ommunity floodplain management ordinances often recommend not constructing closed foundations or solid perimeter walls where flood velocities exceed 5 feet per second.  Source: </w:t>
            </w:r>
            <w:hyperlink r:id="rId26" w:history="1">
              <w:r w:rsidR="00513C56" w:rsidRPr="00340C36">
                <w:rPr>
                  <w:rStyle w:val="Hyperlink"/>
                  <w:rFonts w:cs="Calibri"/>
                </w:rPr>
                <w:t>Kershaw  County</w:t>
              </w:r>
            </w:hyperlink>
            <w:r w:rsidR="00513C56" w:rsidRPr="00340C36">
              <w:rPr>
                <w:rFonts w:cs="Calibri"/>
              </w:rPr>
              <w:t xml:space="preserve">, SC.  Nonstructural mitigation measures are not recommended either where high flood velocities exceed 6 feet per second or where debris impacts may occur.  Source </w:t>
            </w:r>
            <w:hyperlink r:id="rId27" w:history="1">
              <w:r w:rsidR="00513C56" w:rsidRPr="00340C36">
                <w:rPr>
                  <w:rStyle w:val="Hyperlink"/>
                  <w:rFonts w:cs="Calibri"/>
                </w:rPr>
                <w:t>USACE</w:t>
              </w:r>
            </w:hyperlink>
            <w:r w:rsidR="00513C56"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00513C56" w:rsidRPr="00340C36">
                <w:rPr>
                  <w:rStyle w:val="Hyperlink"/>
                  <w:rFonts w:cs="Calibri"/>
                </w:rPr>
                <w:t>FEMA</w:t>
              </w:r>
            </w:hyperlink>
            <w:r w:rsidR="00513C56"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83642186"/>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05DE10A0"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r w:rsidR="00D53BF9">
              <w:rPr>
                <w:rFonts w:cs="Calibri"/>
              </w:rPr>
              <w:t xml:space="preserve">  Total buildings in community calculated from </w:t>
            </w:r>
            <w:r w:rsidRPr="00340C36">
              <w:rPr>
                <w:rFonts w:cs="Calibri"/>
              </w:rPr>
              <w:t xml:space="preserve"> </w:t>
            </w:r>
          </w:p>
        </w:tc>
      </w:tr>
    </w:tbl>
    <w:p w14:paraId="1DE6E2D6" w14:textId="1344EC91"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83642187"/>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10997AC5" w14:textId="77777777" w:rsidR="00FD5CE0" w:rsidRDefault="00ED7339" w:rsidP="0080249C">
            <w:pPr>
              <w:rPr>
                <w:rFonts w:eastAsia="Times New Roman" w:cs="Calibri"/>
                <w:color w:val="000000"/>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 are</w:t>
            </w:r>
            <w:r w:rsidRPr="00340C36">
              <w:rPr>
                <w:rFonts w:eastAsia="Times New Roman" w:cs="Calibri"/>
                <w:color w:val="000000"/>
              </w:rPr>
              <w:t xml:space="preserve"> signifies a greater physical and human exposure to flooding</w:t>
            </w:r>
            <w:r w:rsidR="00FD5CE0">
              <w:rPr>
                <w:rFonts w:eastAsia="Times New Roman" w:cs="Calibri"/>
                <w:color w:val="000000"/>
              </w:rPr>
              <w:t>.</w:t>
            </w:r>
          </w:p>
          <w:p w14:paraId="1A938080" w14:textId="77777777" w:rsidR="00FD5CE0" w:rsidRDefault="00FD5CE0" w:rsidP="0080249C">
            <w:pPr>
              <w:rPr>
                <w:rFonts w:eastAsia="Times New Roman" w:cs="Calibri"/>
                <w:color w:val="000000"/>
              </w:rPr>
            </w:pPr>
          </w:p>
          <w:p w14:paraId="73776A45" w14:textId="729F772D" w:rsidR="00ED7339" w:rsidRPr="00340C36" w:rsidRDefault="00FD5CE0" w:rsidP="0080249C">
            <w:pPr>
              <w:rPr>
                <w:rFonts w:cs="Calibri"/>
              </w:rPr>
            </w:pPr>
            <w:r w:rsidRPr="00FD5CE0">
              <w:t xml:space="preserve">Additionally, the small urban centers in </w:t>
            </w:r>
            <w:r w:rsidRPr="00FD5CE0">
              <w:t>narrow valley</w:t>
            </w:r>
            <w:r w:rsidRPr="00FD5CE0">
              <w:t xml:space="preserve"> bottomlands are often surrounded by large tracts of steep slopes and rugged terrain, and typically owned by large corporations associated with the extraction </w:t>
            </w:r>
            <w:r w:rsidRPr="00FD5CE0">
              <w:lastRenderedPageBreak/>
              <w:t>or tourism industries.  Consequently, these communities are restricted by their available open space within their municipal boundaries in developing or relocating manmade infrastructure outside the floodplains.</w:t>
            </w:r>
          </w:p>
        </w:tc>
        <w:tc>
          <w:tcPr>
            <w:tcW w:w="4793" w:type="dxa"/>
          </w:tcPr>
          <w:p w14:paraId="17943E49" w14:textId="14A3E02E" w:rsidR="00ED7339" w:rsidRDefault="00ED7339" w:rsidP="0080249C">
            <w:pPr>
              <w:rPr>
                <w:rFonts w:cs="Calibri"/>
              </w:rPr>
            </w:pPr>
            <w:r w:rsidRPr="00340C36">
              <w:rPr>
                <w:rFonts w:cs="Calibri"/>
              </w:rPr>
              <w:lastRenderedPageBreak/>
              <w:t>See building count in SFHA</w:t>
            </w:r>
            <w:r w:rsidR="00FD5CE0">
              <w:rPr>
                <w:rFonts w:cs="Calibri"/>
              </w:rPr>
              <w:t xml:space="preserve"> recommendations</w:t>
            </w:r>
            <w:r w:rsidRPr="00340C36">
              <w:rPr>
                <w:rFonts w:cs="Calibri"/>
              </w:rPr>
              <w:t>.</w:t>
            </w:r>
          </w:p>
          <w:p w14:paraId="2B6B15B7" w14:textId="77777777" w:rsidR="00FD5CE0" w:rsidRDefault="00FD5CE0" w:rsidP="0080249C">
            <w:pPr>
              <w:rPr>
                <w:rFonts w:cs="Calibri"/>
              </w:rPr>
            </w:pPr>
          </w:p>
          <w:p w14:paraId="6DA4092C" w14:textId="5AF4DC2E" w:rsidR="00FD5CE0" w:rsidRPr="00FD5CE0" w:rsidRDefault="00FD5CE0" w:rsidP="0080249C">
            <w:r w:rsidRPr="00FD5CE0">
              <w:t xml:space="preserve">Regulations to minimize development in the floodplain </w:t>
            </w:r>
            <w:r w:rsidRPr="00FD5CE0">
              <w:t>should be considered</w:t>
            </w:r>
            <w:r w:rsidRPr="00FD5CE0">
              <w:t xml:space="preserve"> for high floodplain building density.</w:t>
            </w:r>
          </w:p>
          <w:p w14:paraId="3CB47FEA" w14:textId="77777777" w:rsidR="00FD5CE0" w:rsidRPr="00FD5CE0" w:rsidRDefault="00FD5CE0" w:rsidP="0080249C"/>
          <w:p w14:paraId="19270177" w14:textId="29D5E63C" w:rsidR="00FD5CE0" w:rsidRPr="00FD5CE0" w:rsidRDefault="00FD5CE0" w:rsidP="0080249C">
            <w:r w:rsidRPr="00FD5CE0">
              <w:t>W</w:t>
            </w:r>
            <w:r w:rsidRPr="00FD5CE0">
              <w:t xml:space="preserve">here suitable land for development is limited, local officials should consider encouraging </w:t>
            </w:r>
            <w:r w:rsidRPr="00FD5CE0">
              <w:lastRenderedPageBreak/>
              <w:t>property owners to elevate primary structures and purchase flood insurance, exceeding the minimum National Flood Insurance Program (NFIP) community-level requirements, adopting higher building standards such as increasing the freeboard, and implementing early warning systems.  Additionally, these communities should be prioritized in pre-disaster planning by state and county officials.</w:t>
            </w:r>
          </w:p>
          <w:p w14:paraId="4734C051" w14:textId="462CE632" w:rsidR="00FD5CE0" w:rsidRPr="00340C36" w:rsidRDefault="00FD5CE0" w:rsidP="0080249C">
            <w:pPr>
              <w:rPr>
                <w:rFonts w:cs="Calibri"/>
              </w:rPr>
            </w:pP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lastRenderedPageBreak/>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83642188"/>
            <w:r w:rsidRPr="00C14218">
              <w:rPr>
                <w:rStyle w:val="Heading2Char"/>
              </w:rPr>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40D98403" w14:textId="77777777" w:rsidR="00631AF6" w:rsidRDefault="00631AF6" w:rsidP="0080249C">
            <w:pPr>
              <w:rPr>
                <w:rFonts w:eastAsia="Times New Roman" w:cs="Calibri"/>
                <w:color w:val="000000"/>
              </w:rPr>
            </w:pPr>
          </w:p>
          <w:p w14:paraId="6610D60D" w14:textId="1901073D" w:rsidR="00631AF6" w:rsidRDefault="00631AF6" w:rsidP="0080249C">
            <w:pPr>
              <w:rPr>
                <w:rFonts w:eastAsia="Times New Roman" w:cs="Calibri"/>
                <w:color w:val="000000"/>
              </w:rPr>
            </w:pPr>
            <w:r w:rsidRPr="00631AF6">
              <w:rPr>
                <w:rFonts w:eastAsia="Times New Roman" w:cs="Calibri"/>
                <w:color w:val="000000"/>
              </w:rPr>
              <w:t>Residents in communities with higher median housing values may be more likely to carry flood insurance policies, as their properties represent substantial investments. This can enhance financial preparedness and resilience</w:t>
            </w:r>
            <w:r>
              <w:rPr>
                <w:rFonts w:eastAsia="Times New Roman" w:cs="Calibri"/>
                <w:color w:val="000000"/>
              </w:rPr>
              <w:t>.</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2FD52547" w14:textId="10FAB5D3" w:rsidR="00123737" w:rsidRDefault="00123737" w:rsidP="0080249C">
            <w:pPr>
              <w:rPr>
                <w:rFonts w:cs="Calibri"/>
              </w:rPr>
            </w:pPr>
            <w:r>
              <w:rPr>
                <w:rFonts w:cs="Calibri"/>
              </w:rPr>
              <w:t>Flood insurance should be purchased to protect from damage loss and recover quickly.</w:t>
            </w:r>
          </w:p>
          <w:p w14:paraId="0903E5CE" w14:textId="77777777" w:rsidR="00123737" w:rsidRDefault="00123737" w:rsidP="0080249C">
            <w:pPr>
              <w:rPr>
                <w:rFonts w:cs="Calibri"/>
              </w:rPr>
            </w:pPr>
          </w:p>
          <w:p w14:paraId="42E08CE7" w14:textId="1433C196" w:rsidR="00123737" w:rsidRDefault="00123737" w:rsidP="0080249C">
            <w:pPr>
              <w:rPr>
                <w:rFonts w:cs="Calibri"/>
              </w:rPr>
            </w:pPr>
            <w:hyperlink r:id="rId29" w:history="1">
              <w:r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123737" w:rsidP="0080249C">
            <w:pPr>
              <w:rPr>
                <w:rFonts w:cs="Calibri"/>
              </w:rPr>
            </w:pPr>
            <w:hyperlink r:id="rId30" w:history="1">
              <w:r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123737" w:rsidP="0080249C">
            <w:pPr>
              <w:rPr>
                <w:rFonts w:cs="Calibri"/>
              </w:rPr>
            </w:pPr>
            <w:hyperlink r:id="rId31" w:history="1">
              <w:r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123737" w:rsidP="0080249C">
            <w:pPr>
              <w:rPr>
                <w:rFonts w:cs="Calibri"/>
              </w:rPr>
            </w:pPr>
            <w:hyperlink r:id="rId32" w:history="1">
              <w:r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83642189"/>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83642190"/>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4AA55C4A" w14:textId="77777777" w:rsidR="0017157F" w:rsidRDefault="0017157F" w:rsidP="0080249C">
            <w:pPr>
              <w:rPr>
                <w:rFonts w:cs="Calibri"/>
              </w:rPr>
            </w:pPr>
          </w:p>
          <w:p w14:paraId="55A8FBDC" w14:textId="423CE2FA" w:rsidR="00123737" w:rsidRPr="00340C36" w:rsidRDefault="00123737" w:rsidP="00865391">
            <w:pPr>
              <w:rPr>
                <w:rFonts w:cs="Calibri"/>
              </w:rPr>
            </w:pPr>
          </w:p>
        </w:tc>
        <w:tc>
          <w:tcPr>
            <w:tcW w:w="4793" w:type="dxa"/>
          </w:tcPr>
          <w:p w14:paraId="6FCC530F" w14:textId="078C97A4"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0464EBC2" w14:textId="1F3C755A" w:rsidR="00865391" w:rsidRDefault="00865391" w:rsidP="0080249C">
            <w:pPr>
              <w:rPr>
                <w:rFonts w:cs="Calibri"/>
              </w:rPr>
            </w:pPr>
            <w:r>
              <w:rPr>
                <w:rFonts w:cs="Calibri"/>
              </w:rPr>
              <w:t xml:space="preserve">Note:  </w:t>
            </w:r>
            <w:r w:rsidR="00FB4040">
              <w:rPr>
                <w:rFonts w:cs="Calibri"/>
              </w:rPr>
              <w:t>F</w:t>
            </w:r>
            <w:r>
              <w:rPr>
                <w:rFonts w:cs="Calibri"/>
              </w:rPr>
              <w:t xml:space="preserve">oundation types are </w:t>
            </w:r>
            <w:r w:rsidR="00FB4040">
              <w:rPr>
                <w:rFonts w:cs="Calibri"/>
              </w:rPr>
              <w:t xml:space="preserve">standardized </w:t>
            </w:r>
            <w:r>
              <w:rPr>
                <w:rFonts w:cs="Calibri"/>
              </w:rPr>
              <w:t xml:space="preserve">from tax assessment </w:t>
            </w:r>
            <w:r w:rsidR="00FB4040">
              <w:rPr>
                <w:rFonts w:cs="Calibri"/>
              </w:rPr>
              <w:t>basement</w:t>
            </w:r>
            <w:r>
              <w:rPr>
                <w:rFonts w:cs="Calibri"/>
              </w:rPr>
              <w:t xml:space="preserve"> </w:t>
            </w:r>
            <w:r w:rsidRPr="00865391">
              <w:rPr>
                <w:rFonts w:cs="Calibri"/>
              </w:rPr>
              <w:t>codes</w:t>
            </w:r>
            <w:r w:rsidR="00FB4040">
              <w:rPr>
                <w:rFonts w:cs="Calibri"/>
              </w:rPr>
              <w:t xml:space="preserve"> and user-defined inputs</w:t>
            </w:r>
            <w:r>
              <w:rPr>
                <w:rFonts w:cs="Calibri"/>
              </w:rPr>
              <w:t xml:space="preserve"> to FEMA’s seven Hazus foundation types:  Pile, Pier, Solid Perimeter Wall, Basement, Crawlspace, and Sla</w:t>
            </w:r>
            <w:r w:rsidR="00FB4040">
              <w:rPr>
                <w:rFonts w:cs="Calibri"/>
              </w:rPr>
              <w:t>b</w:t>
            </w:r>
            <w:r>
              <w:rPr>
                <w:rFonts w:cs="Calibri"/>
              </w:rPr>
              <w:t xml:space="preserve">-on-Grade.  See </w:t>
            </w:r>
            <w:hyperlink r:id="rId38" w:history="1">
              <w:r w:rsidRPr="00865391">
                <w:rPr>
                  <w:rStyle w:val="Hyperlink"/>
                  <w:rFonts w:cs="Calibri"/>
                </w:rPr>
                <w:t>Building Foundation Types</w:t>
              </w:r>
            </w:hyperlink>
            <w:r>
              <w:rPr>
                <w:rFonts w:cs="Calibri"/>
              </w:rPr>
              <w:t xml:space="preserve"> for more information.</w:t>
            </w:r>
            <w:r>
              <w:rPr>
                <w:rFonts w:cs="Calibri"/>
              </w:rPr>
              <w:br/>
            </w:r>
          </w:p>
          <w:p w14:paraId="79B10F4B" w14:textId="239ACADB"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21753465" w14:textId="2867D538" w:rsidR="006311CF" w:rsidRDefault="006311CF" w:rsidP="0080249C">
      <w:pPr>
        <w:spacing w:line="240" w:lineRule="auto"/>
      </w:pPr>
    </w:p>
    <w:p w14:paraId="326B869C" w14:textId="6217CA2A" w:rsidR="006311CF" w:rsidRDefault="006311CF" w:rsidP="0080249C">
      <w:pPr>
        <w:spacing w:line="240" w:lineRule="auto"/>
      </w:pPr>
    </w:p>
    <w:p w14:paraId="45B38FA3" w14:textId="149A4D04" w:rsidR="006311CF" w:rsidRDefault="006311CF" w:rsidP="0080249C">
      <w:pPr>
        <w:spacing w:line="240" w:lineRule="auto"/>
      </w:pPr>
    </w:p>
    <w:p w14:paraId="7E893C09"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83642191"/>
            <w:r>
              <w:rPr>
                <w:rStyle w:val="Heading2Char"/>
              </w:rPr>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p w14:paraId="0CD298F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4B426B7C" w:rsidR="00F51CC0" w:rsidRPr="00340C36" w:rsidRDefault="005952A8" w:rsidP="0080249C">
            <w:pPr>
              <w:rPr>
                <w:rFonts w:cs="Calibri"/>
              </w:rPr>
            </w:pPr>
            <w:bookmarkStart w:id="19" w:name="_Toc183642192"/>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w:t>
            </w:r>
            <w:r w:rsidR="00AA044A">
              <w:rPr>
                <w:rFonts w:cs="Calibri"/>
              </w:rPr>
              <w:t>identified</w:t>
            </w:r>
            <w:r w:rsidR="00123737">
              <w:rPr>
                <w:rFonts w:cs="Calibri"/>
              </w:rPr>
              <w:t xml:space="preserve"> </w:t>
            </w:r>
            <w:proofErr w:type="gramStart"/>
            <w:r w:rsidR="00816317">
              <w:rPr>
                <w:rFonts w:cs="Calibri"/>
              </w:rPr>
              <w:t>Post-FIRM</w:t>
            </w:r>
            <w:proofErr w:type="gramEnd"/>
            <w:r w:rsidR="00816317">
              <w:rPr>
                <w:rFonts w:cs="Calibri"/>
              </w:rPr>
              <w:t xml:space="preserve">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74A2DC95" w14:textId="393189CA" w:rsidR="002F4053" w:rsidRDefault="002F4053" w:rsidP="0080249C">
            <w:pPr>
              <w:rPr>
                <w:rFonts w:eastAsia="Times New Roman" w:cs="Calibri"/>
                <w:color w:val="000000"/>
              </w:rPr>
            </w:pPr>
            <w:r w:rsidRPr="002F4053">
              <w:rPr>
                <w:rFonts w:eastAsia="Times New Roman" w:cs="Calibri"/>
                <w:color w:val="000000"/>
              </w:rPr>
              <w:t xml:space="preserve">Pre-FIRM structures are more vulnerable to flooding because they were constructed </w:t>
            </w:r>
            <w:r w:rsidR="00BD188E">
              <w:rPr>
                <w:rFonts w:eastAsia="Times New Roman" w:cs="Calibri"/>
                <w:color w:val="000000"/>
              </w:rPr>
              <w:t>when a</w:t>
            </w:r>
            <w:r w:rsidRPr="002F4053">
              <w:rPr>
                <w:rFonts w:eastAsia="Times New Roman" w:cs="Calibri"/>
                <w:color w:val="000000"/>
              </w:rPr>
              <w:t xml:space="preserve"> Flood Insurance Rate Map (FIRM) </w:t>
            </w:r>
            <w:r w:rsidR="00BD188E">
              <w:rPr>
                <w:rFonts w:eastAsia="Times New Roman" w:cs="Calibri"/>
                <w:color w:val="000000"/>
              </w:rPr>
              <w:t xml:space="preserve">was not in effect </w:t>
            </w:r>
            <w:r w:rsidRPr="002F4053">
              <w:rPr>
                <w:rFonts w:eastAsia="Times New Roman" w:cs="Calibri"/>
                <w:color w:val="000000"/>
              </w:rPr>
              <w:t>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7AD3FCE2" w:rsidR="00F51CC0" w:rsidRPr="00D24D14" w:rsidRDefault="000262CB" w:rsidP="0080249C">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D24D14">
              <w:rPr>
                <w:rFonts w:eastAsia="Times New Roman" w:cs="Calibri"/>
                <w:color w:val="000000"/>
              </w:rPr>
              <w:t xml:space="preserve">.  Source: </w:t>
            </w:r>
            <w:hyperlink r:id="rId39" w:history="1">
              <w:r w:rsidR="001D6AEF" w:rsidRPr="001D6AEF">
                <w:rPr>
                  <w:rStyle w:val="Hyperlink"/>
                  <w:rFonts w:eastAsia="Times New Roman" w:cs="Calibri"/>
                </w:rPr>
                <w:t>WV Conservation Agency.</w:t>
              </w:r>
            </w:hyperlink>
          </w:p>
        </w:tc>
        <w:tc>
          <w:tcPr>
            <w:tcW w:w="4793" w:type="dxa"/>
          </w:tcPr>
          <w:p w14:paraId="1B324098" w14:textId="77777777"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 are taken to reduce their losses.</w:t>
            </w:r>
            <w:r w:rsidR="00391B97">
              <w:rPr>
                <w:rFonts w:cs="Calibri"/>
              </w:rPr>
              <w:t xml:space="preserve">  </w:t>
            </w:r>
            <w:r w:rsidR="00391B97">
              <w:rPr>
                <w:rFonts w:eastAsia="Times New Roman" w:cs="Calibri"/>
                <w:color w:val="000000"/>
              </w:rPr>
              <w:t xml:space="preserve">Source: </w:t>
            </w:r>
            <w:hyperlink r:id="rId40" w:history="1">
              <w:r w:rsidR="00391B97" w:rsidRPr="001D6AEF">
                <w:rPr>
                  <w:rStyle w:val="Hyperlink"/>
                  <w:rFonts w:eastAsia="Times New Roman" w:cs="Calibri"/>
                </w:rPr>
                <w:t>WV Conservation Agency.</w:t>
              </w:r>
            </w:hyperlink>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1"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79971B9D" w14:textId="77777777" w:rsidR="00702CDB" w:rsidRDefault="00F51CC0" w:rsidP="0080249C">
            <w:pPr>
              <w:rPr>
                <w:rFonts w:cs="Calibri"/>
              </w:rPr>
            </w:pPr>
            <w:r w:rsidRPr="00340C36">
              <w:rPr>
                <w:rFonts w:cs="Calibri"/>
              </w:rPr>
              <w:t xml:space="preserve">Data Sources:  </w:t>
            </w:r>
            <w:r w:rsidR="00D238E5" w:rsidRPr="00916D4E">
              <w:rPr>
                <w:rFonts w:cs="Calibri"/>
              </w:rPr>
              <w:t>Effective and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r w:rsidR="00702CDB">
              <w:rPr>
                <w:rFonts w:cs="Calibri"/>
              </w:rPr>
              <w:t xml:space="preserve">.  </w:t>
            </w:r>
          </w:p>
          <w:p w14:paraId="0FC16ADB" w14:textId="77777777" w:rsidR="00702CDB" w:rsidRDefault="00702CDB" w:rsidP="0080249C">
            <w:pPr>
              <w:rPr>
                <w:rFonts w:cs="Calibri"/>
              </w:rPr>
            </w:pPr>
          </w:p>
          <w:p w14:paraId="1B562160" w14:textId="50B0D075" w:rsidR="00F51CC0" w:rsidRPr="00340C36" w:rsidRDefault="00702CDB" w:rsidP="0080249C">
            <w:pPr>
              <w:rPr>
                <w:rFonts w:cs="Calibri"/>
                <w:b/>
                <w:bCs/>
              </w:rPr>
            </w:pPr>
            <w:r>
              <w:rPr>
                <w:rFonts w:cs="Calibri"/>
              </w:rPr>
              <w:t xml:space="preserve">Note:  </w:t>
            </w:r>
            <w:r w:rsidRPr="00702CDB">
              <w:rPr>
                <w:rFonts w:cs="Calibri"/>
              </w:rPr>
              <w:t>If the site of a post-FIRM structure was not mapped as a Special Flood Hazard Area at the time of construction, then repairs or alterations are regulated as though it is a pre-FIRM structure.</w:t>
            </w:r>
          </w:p>
        </w:tc>
      </w:tr>
    </w:tbl>
    <w:p w14:paraId="67249B3E" w14:textId="71D11E33" w:rsidR="00F51CC0" w:rsidRDefault="00F51CC0" w:rsidP="0080249C">
      <w:pPr>
        <w:spacing w:line="240" w:lineRule="auto"/>
      </w:pPr>
    </w:p>
    <w:p w14:paraId="7E809152" w14:textId="2553EE4D" w:rsidR="006311CF" w:rsidRDefault="006311CF" w:rsidP="0080249C">
      <w:pPr>
        <w:spacing w:line="240" w:lineRule="auto"/>
      </w:pPr>
    </w:p>
    <w:p w14:paraId="1FE9CF06" w14:textId="67B7E4DB" w:rsidR="006311CF" w:rsidRDefault="006311CF" w:rsidP="0080249C">
      <w:pPr>
        <w:spacing w:line="240" w:lineRule="auto"/>
      </w:pPr>
    </w:p>
    <w:p w14:paraId="14D390EF" w14:textId="136BDF78" w:rsidR="006311CF" w:rsidRDefault="006311CF" w:rsidP="0080249C">
      <w:pPr>
        <w:spacing w:line="240" w:lineRule="auto"/>
      </w:pPr>
    </w:p>
    <w:p w14:paraId="2C68AC60" w14:textId="46A9B80A"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83642193"/>
            <w:r>
              <w:rPr>
                <w:rStyle w:val="Heading2Char"/>
              </w:rPr>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p w14:paraId="436DC04B" w14:textId="77777777"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83642194"/>
            <w:r>
              <w:rPr>
                <w:rStyle w:val="Heading2Char"/>
              </w:rPr>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062336E3" w14:textId="1973B8AB" w:rsidR="00F51CC0" w:rsidRPr="00340C36" w:rsidRDefault="001C1BC1" w:rsidP="0080249C">
            <w:pPr>
              <w:rPr>
                <w:rFonts w:cs="Calibri"/>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0FFD45C2" w14:textId="772869D0" w:rsidR="00F51CC0" w:rsidRPr="00340C36" w:rsidRDefault="00054325" w:rsidP="0080249C">
            <w:pPr>
              <w:rPr>
                <w:rFonts w:cs="Calibri"/>
              </w:rPr>
            </w:pPr>
            <w:r w:rsidRPr="00054325">
              <w:rPr>
                <w:rFonts w:cs="Calibri"/>
              </w:rPr>
              <w:t>Additionally, plans should be developed for the long-term relocation of essential facilities, such as police and fire stations, schools, and nursing homes, out of the floodplain.</w:t>
            </w: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83642195"/>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51829A4" w:rsidR="008B794E" w:rsidRDefault="00D004A6" w:rsidP="0080249C">
            <w:pPr>
              <w:rPr>
                <w:rFonts w:cs="Calibri"/>
              </w:rPr>
            </w:pPr>
            <w:r w:rsidRPr="00D004A6">
              <w:rPr>
                <w:rFonts w:cs="Calibri"/>
              </w:rPr>
              <w:t xml:space="preserve">Communities should compare historical flooding events with flood estimation models for </w:t>
            </w:r>
            <w:r w:rsidR="00202C23">
              <w:rPr>
                <w:rFonts w:cs="Calibri"/>
              </w:rPr>
              <w:t xml:space="preserve">major transportation routes </w:t>
            </w:r>
            <w:r w:rsidRPr="00D004A6">
              <w:rPr>
                <w:rFonts w:cs="Calibri"/>
              </w:rPr>
              <w:t xml:space="preserve">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657A3B2E" w:rsidR="00F51CC0" w:rsidRPr="00340C36" w:rsidRDefault="00202C23" w:rsidP="0080249C">
            <w:pPr>
              <w:rPr>
                <w:rFonts w:cs="Calibri"/>
              </w:rPr>
            </w:pPr>
            <w:r>
              <w:rPr>
                <w:rFonts w:cs="Calibri"/>
              </w:rPr>
              <w:t xml:space="preserve">Community planners and transportation officials </w:t>
            </w:r>
            <w:r w:rsidR="003A3E89">
              <w:rPr>
                <w:rFonts w:cs="Calibri"/>
              </w:rPr>
              <w:t>could</w:t>
            </w:r>
            <w:r w:rsidRPr="00D004A6">
              <w:rPr>
                <w:rFonts w:cs="Calibri"/>
              </w:rPr>
              <w:t xml:space="preserve"> consider increasing roadway elevation to mitigate the</w:t>
            </w:r>
            <w:r>
              <w:rPr>
                <w:rFonts w:cs="Calibri"/>
              </w:rPr>
              <w:t xml:space="preserve"> flood</w:t>
            </w:r>
            <w:r w:rsidRPr="00D004A6">
              <w:rPr>
                <w:rFonts w:cs="Calibri"/>
              </w:rPr>
              <w:t xml:space="preserv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07E1A301" w14:textId="7637255E" w:rsidR="006311CF" w:rsidRDefault="006311CF" w:rsidP="0080249C">
      <w:pPr>
        <w:spacing w:line="240" w:lineRule="auto"/>
      </w:pPr>
    </w:p>
    <w:p w14:paraId="3CA17658" w14:textId="1945D6BA" w:rsidR="006311CF" w:rsidRDefault="006311CF" w:rsidP="0080249C">
      <w:pPr>
        <w:spacing w:line="240" w:lineRule="auto"/>
      </w:pPr>
    </w:p>
    <w:p w14:paraId="274B5F5C" w14:textId="11961255" w:rsidR="006311CF" w:rsidRDefault="006311CF" w:rsidP="0080249C">
      <w:pPr>
        <w:spacing w:line="240" w:lineRule="auto"/>
      </w:pPr>
    </w:p>
    <w:p w14:paraId="454A0C6A" w14:textId="44CB0790" w:rsidR="006311CF" w:rsidRDefault="006311CF" w:rsidP="0080249C">
      <w:pPr>
        <w:spacing w:line="240" w:lineRule="auto"/>
      </w:pPr>
    </w:p>
    <w:p w14:paraId="3BEDFCF9" w14:textId="340EB83F" w:rsidR="006311CF" w:rsidRDefault="006311CF" w:rsidP="0080249C">
      <w:pPr>
        <w:spacing w:line="240" w:lineRule="auto"/>
      </w:pP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83642196"/>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2B394017" w14:textId="752C8C2B" w:rsidR="00F51CC0" w:rsidRDefault="00F96047" w:rsidP="0080249C">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00542339">
              <w:rPr>
                <w:rFonts w:eastAsia="Times New Roman" w:cs="Calibri"/>
                <w:color w:val="000000"/>
              </w:rPr>
              <w:t>Additionally</w:t>
            </w:r>
            <w:r w:rsidRPr="00F96047">
              <w:rPr>
                <w:rFonts w:eastAsia="Times New Roman" w:cs="Calibri"/>
                <w:color w:val="000000"/>
              </w:rPr>
              <w:t xml:space="preserve">, </w:t>
            </w:r>
            <w:r w:rsidR="00FE5BF1" w:rsidRPr="00F96047">
              <w:rPr>
                <w:rFonts w:eastAsia="Times New Roman" w:cs="Calibri"/>
                <w:color w:val="000000"/>
              </w:rPr>
              <w:t>it</w:t>
            </w:r>
            <w:r w:rsidRPr="00F96047">
              <w:rPr>
                <w:rFonts w:eastAsia="Times New Roman" w:cs="Calibri"/>
                <w:color w:val="000000"/>
              </w:rPr>
              <w:t xml:space="preserve"> may affect insurance premiums for these assets and eligibility for government funding for flood mitigation.</w:t>
            </w:r>
          </w:p>
          <w:p w14:paraId="4E503949" w14:textId="77777777" w:rsidR="00FE5BF1" w:rsidRDefault="00FE5BF1" w:rsidP="0080249C">
            <w:pPr>
              <w:rPr>
                <w:rFonts w:eastAsia="Times New Roman" w:cs="Calibri"/>
                <w:color w:val="000000"/>
              </w:rPr>
            </w:pPr>
          </w:p>
          <w:p w14:paraId="65E07574" w14:textId="77777777" w:rsidR="00542339" w:rsidRDefault="00FE5BF1" w:rsidP="00542339">
            <w:r w:rsidRPr="005C58EA">
              <w:t>A designated historic structure can obtain the benefit of subsidized flood insurance through the NFIP even if it has been substantially improved or substantially damaged so long as the building maintains its historic designation.</w:t>
            </w:r>
          </w:p>
          <w:p w14:paraId="73BA3641" w14:textId="77777777" w:rsidR="00542339" w:rsidRDefault="00542339" w:rsidP="00542339"/>
          <w:p w14:paraId="3BCB2B75" w14:textId="71338DD4" w:rsidR="00542339" w:rsidRDefault="00542339" w:rsidP="00542339">
            <w:r w:rsidRPr="005C58EA">
              <w:t>Although the NFIP provides relief to historic structures from having to comply with NFIP floodplain management requirements for new construction, communities and owners of historic structures should consider mitigation measures that can reduce the impacts of flooding on historic structures located in Special Flood Hazard Areas (44 CFR §60.3).</w:t>
            </w:r>
          </w:p>
          <w:p w14:paraId="48DA4251" w14:textId="7C4EED42" w:rsidR="00FE5BF1" w:rsidRPr="00340C36" w:rsidRDefault="00FE5BF1" w:rsidP="0080249C">
            <w:pPr>
              <w:rPr>
                <w:rFonts w:cs="Calibri"/>
              </w:rPr>
            </w:pPr>
          </w:p>
        </w:tc>
        <w:tc>
          <w:tcPr>
            <w:tcW w:w="5963" w:type="dxa"/>
          </w:tcPr>
          <w:p w14:paraId="5A610477" w14:textId="4461F265" w:rsidR="00F33303" w:rsidRDefault="00F33303" w:rsidP="0080249C">
            <w:pPr>
              <w:rPr>
                <w:rFonts w:cs="Calibri"/>
              </w:rPr>
            </w:pPr>
            <w:r>
              <w:rPr>
                <w:rFonts w:cs="Calibri"/>
              </w:rPr>
              <w:t xml:space="preserve">Communities </w:t>
            </w:r>
            <w:r w:rsidR="00FE5BF1">
              <w:rPr>
                <w:rFonts w:cs="Calibri"/>
              </w:rPr>
              <w:t xml:space="preserve">should </w:t>
            </w:r>
            <w:r>
              <w:rPr>
                <w:rFonts w:cs="Calibri"/>
              </w:rPr>
              <w:t xml:space="preserve">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w:t>
            </w:r>
            <w:r w:rsidR="00202C23">
              <w:rPr>
                <w:rFonts w:cs="Calibri"/>
              </w:rPr>
              <w:t xml:space="preserve">the </w:t>
            </w:r>
            <w:r w:rsidR="007C40B5">
              <w:rPr>
                <w:rFonts w:cs="Calibri"/>
              </w:rPr>
              <w:t>floodplain</w:t>
            </w:r>
            <w:r>
              <w:rPr>
                <w:rFonts w:cs="Calibri"/>
              </w:rPr>
              <w:t xml:space="preserve">. </w:t>
            </w:r>
          </w:p>
          <w:p w14:paraId="63495EF2" w14:textId="77777777" w:rsidR="007C40B5" w:rsidRPr="007C40B5" w:rsidRDefault="007C40B5" w:rsidP="0080249C">
            <w:pPr>
              <w:rPr>
                <w:rFonts w:cs="Calibri"/>
              </w:rPr>
            </w:pPr>
          </w:p>
          <w:p w14:paraId="5CC3FC44" w14:textId="7C9CE388"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1B02E3AE" w14:textId="77777777" w:rsidR="00FE5BF1" w:rsidRDefault="007C40B5" w:rsidP="00FE5BF1">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2" w:history="1">
              <w:r w:rsidR="002C6B0A" w:rsidRPr="002C6B0A">
                <w:rPr>
                  <w:rStyle w:val="Hyperlink"/>
                  <w:rFonts w:cs="Calibri"/>
                </w:rPr>
                <w:t>National Park Service</w:t>
              </w:r>
            </w:hyperlink>
            <w:r w:rsidR="002C6B0A">
              <w:rPr>
                <w:rFonts w:cs="Calibri"/>
              </w:rPr>
              <w:t>.</w:t>
            </w:r>
            <w:r w:rsidR="00FE5BF1">
              <w:rPr>
                <w:rFonts w:cs="Calibri"/>
              </w:rPr>
              <w:br/>
            </w:r>
            <w:r w:rsidR="00FE5BF1">
              <w:rPr>
                <w:rFonts w:cs="Calibri"/>
              </w:rPr>
              <w:br/>
            </w:r>
          </w:p>
          <w:p w14:paraId="58E547CD" w14:textId="77777777" w:rsidR="00FE5BF1" w:rsidRDefault="00FE5BF1" w:rsidP="00FE5BF1">
            <w:pPr>
              <w:shd w:val="clear" w:color="auto" w:fill="F2F2F2" w:themeFill="background1" w:themeFillShade="F2"/>
              <w:rPr>
                <w:b/>
                <w:bCs/>
              </w:rPr>
            </w:pPr>
            <w:r>
              <w:rPr>
                <w:b/>
                <w:bCs/>
              </w:rPr>
              <w:t>HISTORICAL RESOURCES</w:t>
            </w:r>
          </w:p>
          <w:p w14:paraId="6F006926" w14:textId="382EE9A8" w:rsidR="00FE5BF1" w:rsidRPr="00FE5BF1" w:rsidRDefault="00FE5BF1" w:rsidP="00FE5BF1">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43" w:history="1">
              <w:r w:rsidRPr="00FE5BF1">
                <w:rPr>
                  <w:rStyle w:val="Hyperlink"/>
                  <w:bCs/>
                  <w:sz w:val="20"/>
                  <w:szCs w:val="20"/>
                </w:rPr>
                <w:t>FEMA R3 Presentation</w:t>
              </w:r>
            </w:hyperlink>
            <w:r w:rsidRPr="00FE5BF1">
              <w:rPr>
                <w:bCs/>
                <w:sz w:val="20"/>
                <w:szCs w:val="20"/>
              </w:rPr>
              <w:t xml:space="preserve"> | </w:t>
            </w:r>
            <w:hyperlink r:id="rId44" w:history="1">
              <w:r w:rsidRPr="00FE5BF1">
                <w:rPr>
                  <w:rStyle w:val="Hyperlink"/>
                  <w:bCs/>
                  <w:sz w:val="20"/>
                  <w:szCs w:val="20"/>
                </w:rPr>
                <w:t>MD Guide</w:t>
              </w:r>
            </w:hyperlink>
            <w:r w:rsidRPr="00FE5BF1">
              <w:rPr>
                <w:bCs/>
                <w:sz w:val="20"/>
                <w:szCs w:val="20"/>
              </w:rPr>
              <w:t xml:space="preserve"> </w:t>
            </w:r>
          </w:p>
          <w:p w14:paraId="7DCEC34C" w14:textId="43C639DB" w:rsidR="00FE5BF1" w:rsidRPr="00FE5BF1" w:rsidRDefault="00FE5BF1" w:rsidP="00FE5BF1">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45" w:history="1">
              <w:r w:rsidRPr="00FE5BF1">
                <w:rPr>
                  <w:rStyle w:val="Hyperlink"/>
                  <w:bCs/>
                  <w:sz w:val="20"/>
                  <w:szCs w:val="20"/>
                </w:rPr>
                <w:t>Floodplain Management of Historic Structures</w:t>
              </w:r>
            </w:hyperlink>
          </w:p>
          <w:p w14:paraId="00273B6A" w14:textId="29500A39" w:rsidR="00FE5BF1" w:rsidRPr="00FE5BF1" w:rsidRDefault="00FE5BF1" w:rsidP="00FE5BF1">
            <w:pPr>
              <w:shd w:val="clear" w:color="auto" w:fill="F2F2F2" w:themeFill="background1" w:themeFillShade="F2"/>
              <w:rPr>
                <w:bCs/>
                <w:sz w:val="20"/>
                <w:szCs w:val="20"/>
              </w:rPr>
            </w:pPr>
            <w:r w:rsidRPr="00FE5BF1">
              <w:rPr>
                <w:bCs/>
                <w:sz w:val="20"/>
                <w:szCs w:val="20"/>
              </w:rPr>
              <w:t xml:space="preserve">Map Resources:  </w:t>
            </w:r>
            <w:hyperlink r:id="rId46" w:history="1">
              <w:r w:rsidRPr="00FE5BF1">
                <w:rPr>
                  <w:rStyle w:val="Hyperlink"/>
                  <w:bCs/>
                  <w:sz w:val="20"/>
                  <w:szCs w:val="20"/>
                </w:rPr>
                <w:t>WV Flood Tool’s Risk MAP View</w:t>
              </w:r>
            </w:hyperlink>
            <w:r w:rsidRPr="00FE5BF1">
              <w:rPr>
                <w:bCs/>
                <w:sz w:val="20"/>
                <w:szCs w:val="20"/>
              </w:rPr>
              <w:t xml:space="preserve"> | </w:t>
            </w:r>
            <w:hyperlink r:id="rId47" w:history="1">
              <w:r w:rsidRPr="00FE5BF1">
                <w:rPr>
                  <w:rStyle w:val="Hyperlink"/>
                  <w:bCs/>
                  <w:sz w:val="20"/>
                  <w:szCs w:val="20"/>
                </w:rPr>
                <w:t xml:space="preserve">WV SHPO GIS </w:t>
              </w:r>
            </w:hyperlink>
          </w:p>
          <w:p w14:paraId="7C1F0E45" w14:textId="77777777" w:rsidR="00FE5BF1" w:rsidRPr="00FE5BF1" w:rsidRDefault="00FE5BF1" w:rsidP="00FE5BF1">
            <w:pPr>
              <w:shd w:val="clear" w:color="auto" w:fill="F2F2F2" w:themeFill="background1" w:themeFillShade="F2"/>
              <w:rPr>
                <w:sz w:val="20"/>
                <w:szCs w:val="20"/>
              </w:rPr>
            </w:pPr>
            <w:r w:rsidRPr="00FE5BF1">
              <w:rPr>
                <w:bCs/>
                <w:sz w:val="20"/>
                <w:szCs w:val="20"/>
              </w:rPr>
              <w:t xml:space="preserve">National Register Listing:  </w:t>
            </w:r>
            <w:hyperlink r:id="rId48" w:history="1">
              <w:r w:rsidRPr="00FE5BF1">
                <w:rPr>
                  <w:rStyle w:val="Hyperlink"/>
                  <w:bCs/>
                  <w:sz w:val="20"/>
                  <w:szCs w:val="20"/>
                </w:rPr>
                <w:t>WV State Historic Preservation Office</w:t>
              </w:r>
            </w:hyperlink>
            <w:r w:rsidRPr="00FE5BF1">
              <w:rPr>
                <w:sz w:val="20"/>
                <w:szCs w:val="20"/>
              </w:rPr>
              <w:t xml:space="preserve">  </w:t>
            </w:r>
          </w:p>
          <w:p w14:paraId="782EF431" w14:textId="4E73792F" w:rsidR="00D318CA" w:rsidRPr="00340C36" w:rsidRDefault="00FE5BF1" w:rsidP="0080249C">
            <w:pPr>
              <w:rPr>
                <w:rFonts w:cs="Calibri"/>
              </w:rPr>
            </w:pPr>
            <w:r>
              <w:rPr>
                <w:rFonts w:cs="Calibri"/>
              </w:rPr>
              <w:br/>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83642197"/>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4B75CA4F"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9"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21ED4A7" w14:textId="77777777" w:rsidTr="00D7049F">
        <w:tc>
          <w:tcPr>
            <w:tcW w:w="9738" w:type="dxa"/>
            <w:gridSpan w:val="2"/>
            <w:shd w:val="clear" w:color="auto" w:fill="F2F2F2" w:themeFill="background1" w:themeFillShade="F2"/>
          </w:tcPr>
          <w:p w14:paraId="47E9DF0D" w14:textId="449E4A0D" w:rsidR="00F51CC0" w:rsidRPr="00340C36" w:rsidRDefault="0049203C" w:rsidP="0080249C">
            <w:pPr>
              <w:rPr>
                <w:rFonts w:cs="Calibri"/>
              </w:rPr>
            </w:pPr>
            <w:bookmarkStart w:id="25" w:name="_Toc183642198"/>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 1% annual chance (100-yr) flood.</w:t>
            </w:r>
          </w:p>
        </w:tc>
      </w:tr>
      <w:tr w:rsidR="00F51CC0" w:rsidRPr="00340C36" w14:paraId="56EAD6F1" w14:textId="77777777" w:rsidTr="00D7049F">
        <w:tc>
          <w:tcPr>
            <w:tcW w:w="494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D7049F">
        <w:tc>
          <w:tcPr>
            <w:tcW w:w="4945" w:type="dxa"/>
          </w:tcPr>
          <w:p w14:paraId="2CD4352B" w14:textId="4EC82DBA"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E575CE" w:rsidRPr="00E575CE">
              <w:rPr>
                <w:rFonts w:eastAsia="Times New Roman" w:cs="Calibri"/>
                <w:color w:val="000000"/>
              </w:rPr>
              <w:t xml:space="preserve">Substantial damage </w:t>
            </w:r>
            <w:r w:rsidR="00E575CE">
              <w:rPr>
                <w:rFonts w:eastAsia="Times New Roman" w:cs="Calibri"/>
                <w:color w:val="000000"/>
              </w:rPr>
              <w:t>estimate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1E309B43" w14:textId="76D7F54D" w:rsidR="00D10142" w:rsidRPr="00D10142" w:rsidRDefault="00D10142" w:rsidP="0080249C">
            <w:pPr>
              <w:rPr>
                <w:rFonts w:cs="Calibri"/>
              </w:rPr>
            </w:pPr>
            <w:r w:rsidRPr="00D10142">
              <w:rPr>
                <w:rFonts w:cs="Calibri"/>
              </w:rPr>
              <w:t>For many communities with pre-FIRM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50"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3936D32E" w:rsidR="006C7B72" w:rsidRPr="00340C36" w:rsidRDefault="006C7B72" w:rsidP="0080249C">
            <w:pPr>
              <w:rPr>
                <w:rFonts w:cs="Calibri"/>
              </w:rPr>
            </w:pPr>
          </w:p>
        </w:tc>
        <w:tc>
          <w:tcPr>
            <w:tcW w:w="479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51"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52"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6" w:name="_Toc183642199"/>
            <w:r>
              <w:rPr>
                <w:rStyle w:val="Heading2Char"/>
              </w:rPr>
              <w:t xml:space="preserve">Bldg. </w:t>
            </w:r>
            <w:r w:rsidRPr="00C14218">
              <w:rPr>
                <w:rStyle w:val="Heading2Char"/>
              </w:rPr>
              <w:t>Substantial Damage Ratio (%)</w:t>
            </w:r>
            <w:bookmarkEnd w:id="26"/>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0603A3">
        <w:tc>
          <w:tcPr>
            <w:tcW w:w="494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79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0603A3">
        <w:tc>
          <w:tcPr>
            <w:tcW w:w="494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79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7" w:name="_Toc183642200"/>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7"/>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p w14:paraId="46948FFC" w14:textId="77777777" w:rsidR="000262CB" w:rsidRDefault="000262CB" w:rsidP="0080249C">
            <w:pPr>
              <w:rPr>
                <w:rFonts w:eastAsia="Times New Roman" w:cs="Calibri"/>
                <w:color w:val="000000"/>
              </w:rPr>
            </w:pPr>
          </w:p>
          <w:p w14:paraId="4C6486A5" w14:textId="77777777" w:rsidR="000262CB" w:rsidRDefault="000262CB" w:rsidP="0080249C">
            <w:pPr>
              <w:rPr>
                <w:rFonts w:cs="Calibri"/>
              </w:rPr>
            </w:pPr>
            <w:r>
              <w:rPr>
                <w:rFonts w:cs="Calibri"/>
              </w:rPr>
              <w:t>The frequency of flooding and claim history are factors in determining a building’s unique flood risk and associated premium.</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28" w:name="_Toc183642201"/>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28"/>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3741E546" w14:textId="070096E0" w:rsidR="00D10142" w:rsidRPr="00340C36"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can cause direct cost of </w:t>
            </w:r>
            <w:r w:rsidRPr="00D10142">
              <w:rPr>
                <w:rFonts w:cs="Calibri"/>
              </w:rPr>
              <w:t>the continued need for emergency services</w:t>
            </w:r>
            <w:r>
              <w:rPr>
                <w:rFonts w:cs="Calibri"/>
              </w:rPr>
              <w:t xml:space="preserve"> as well as the indirect cost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53" w:anchor="page=23" w:history="1">
              <w:r w:rsidRPr="00C55625">
                <w:rPr>
                  <w:rStyle w:val="Hyperlink"/>
                  <w:rFonts w:cs="Calibri"/>
                </w:rPr>
                <w:t>FEMA Region 3</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54"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55"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29" w:name="_Toc183642202"/>
            <w:r w:rsidRPr="00C14218">
              <w:rPr>
                <w:rStyle w:val="Heading2Char"/>
              </w:rPr>
              <w:lastRenderedPageBreak/>
              <w:t>Population in Floodplain Ratio</w:t>
            </w:r>
            <w:r w:rsidR="009642B1" w:rsidRPr="00C14218">
              <w:rPr>
                <w:rStyle w:val="Heading2Char"/>
              </w:rPr>
              <w:t xml:space="preserve"> (%)</w:t>
            </w:r>
            <w:bookmarkEnd w:id="29"/>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77777777" w:rsidR="0080249C" w:rsidRDefault="004064A6" w:rsidP="0080249C">
            <w:pPr>
              <w:rPr>
                <w:rFonts w:eastAsia="Times New Roman" w:cs="Calibri"/>
                <w:color w:val="000000"/>
              </w:rPr>
            </w:pPr>
            <w:r w:rsidRPr="004064A6">
              <w:rPr>
                <w:rFonts w:eastAsia="Times New Roman" w:cs="Calibri"/>
                <w:color w:val="000000"/>
              </w:rPr>
              <w:t>More people residing in floodplains means higher human exposure to floods causing higher human loss.</w:t>
            </w:r>
            <w:r w:rsidR="0080249C">
              <w:rPr>
                <w:rFonts w:eastAsia="Times New Roman" w:cs="Calibri"/>
                <w:color w:val="000000"/>
              </w:rPr>
              <w:t xml:space="preserve">  </w:t>
            </w:r>
          </w:p>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56"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77777777" w:rsidR="00F51CC0" w:rsidRDefault="00FA2387" w:rsidP="0080249C">
            <w:pPr>
              <w:rPr>
                <w:rFonts w:cs="Calibri"/>
              </w:rPr>
            </w:pPr>
            <w:r>
              <w:rPr>
                <w:rFonts w:cs="Calibri"/>
              </w:rPr>
              <w:t>The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C224CA2" w14:textId="77777777" w:rsidR="0080249C" w:rsidRDefault="0080249C" w:rsidP="0080249C">
            <w:pPr>
              <w:rPr>
                <w:rFonts w:cs="Calibri"/>
              </w:rPr>
            </w:pPr>
            <w:r>
              <w:rPr>
                <w:rFonts w:cs="Calibri"/>
              </w:rPr>
              <w:t>Emergency evacuation plans for flood disasters should include flood warning systems, flood impact evacuations to specific flood stages, etc. for evacuating people and pets.</w:t>
            </w:r>
          </w:p>
          <w:p w14:paraId="48173C58" w14:textId="77777777" w:rsidR="00114272" w:rsidRDefault="00114272"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57"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58" w:history="1">
              <w:r w:rsidR="001735A2" w:rsidRPr="001735A2">
                <w:rPr>
                  <w:rStyle w:val="Hyperlink"/>
                  <w:rFonts w:cs="Calibri"/>
                </w:rPr>
                <w:t xml:space="preserve"> National Safety Council</w:t>
              </w:r>
            </w:hyperlink>
            <w:r w:rsidR="001735A2">
              <w:rPr>
                <w:rFonts w:cs="Calibri"/>
              </w:rPr>
              <w:t xml:space="preserve"> and the </w:t>
            </w:r>
            <w:hyperlink r:id="rId59"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0" w:name="_Toc183642203"/>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0"/>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1" w:name="_Toc183642204"/>
            <w:r w:rsidRPr="00C14218">
              <w:rPr>
                <w:rStyle w:val="Heading2Char"/>
              </w:rPr>
              <w:t>WV Social Vulnerability Index</w:t>
            </w:r>
            <w:r w:rsidR="00995FD0" w:rsidRPr="00C14218">
              <w:rPr>
                <w:rStyle w:val="Heading2Char"/>
              </w:rPr>
              <w:t xml:space="preserve"> (%)</w:t>
            </w:r>
            <w:bookmarkEnd w:id="31"/>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41D6C2AB" w14:textId="77777777" w:rsidR="00F51CC0"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xml:space="preserve">.  The select </w:t>
            </w:r>
            <w:r w:rsidRPr="00924E4C">
              <w:rPr>
                <w:rFonts w:eastAsia="Times New Roman" w:cs="Calibri"/>
                <w:color w:val="000000"/>
              </w:rPr>
              <w:t>indicators are economic factors (</w:t>
            </w:r>
            <w:r w:rsidRPr="00924E4C">
              <w:rPr>
                <w:rFonts w:eastAsia="Times New Roman" w:cs="Calibri"/>
                <w:b/>
                <w:bCs/>
                <w:color w:val="000000"/>
              </w:rPr>
              <w:t>Poverty Rate</w:t>
            </w:r>
            <w:r w:rsidRPr="00924E4C">
              <w:rPr>
                <w:rFonts w:eastAsia="Times New Roman" w:cs="Calibri"/>
                <w:color w:val="000000"/>
              </w:rPr>
              <w:t xml:space="preserve">, </w:t>
            </w:r>
            <w:r w:rsidRPr="00924E4C">
              <w:rPr>
                <w:rFonts w:eastAsia="Times New Roman" w:cs="Calibri"/>
                <w:b/>
                <w:bCs/>
                <w:color w:val="000000"/>
              </w:rPr>
              <w:t>Unemployment Rate</w:t>
            </w:r>
            <w:r w:rsidRPr="00924E4C">
              <w:rPr>
                <w:rFonts w:eastAsia="Times New Roman" w:cs="Calibri"/>
                <w:color w:val="000000"/>
              </w:rPr>
              <w:t xml:space="preserve">), population characteristics (Vulnerable Ages Rate, Disability Rate, Population without a </w:t>
            </w:r>
            <w:r w:rsidRPr="00924E4C">
              <w:rPr>
                <w:rFonts w:eastAsia="Times New Roman" w:cs="Calibri"/>
                <w:b/>
                <w:bCs/>
                <w:color w:val="000000"/>
              </w:rPr>
              <w:t>High School Education</w:t>
            </w:r>
            <w:r w:rsidRPr="00924E4C">
              <w:rPr>
                <w:rFonts w:eastAsia="Times New Roman" w:cs="Calibri"/>
                <w:color w:val="000000"/>
              </w:rPr>
              <w:t>, Population Change), and housing (Median Housing Unit Value, Mobile Homes as Percentage of Housing).</w:t>
            </w:r>
          </w:p>
          <w:p w14:paraId="64D5277A" w14:textId="77777777" w:rsidR="001176FF" w:rsidRDefault="001176FF" w:rsidP="0080249C">
            <w:pPr>
              <w:rPr>
                <w:rFonts w:eastAsia="Times New Roman" w:cs="Calibri"/>
                <w:color w:val="000000"/>
              </w:rPr>
            </w:pPr>
          </w:p>
          <w:p w14:paraId="37FC3F67" w14:textId="53A1EE52" w:rsidR="001176FF" w:rsidRDefault="00924E4C" w:rsidP="0080249C">
            <w:pPr>
              <w:rPr>
                <w:rFonts w:eastAsia="Times New Roman" w:cs="Calibri"/>
                <w:color w:val="000000"/>
              </w:rPr>
            </w:pPr>
            <w:r>
              <w:rPr>
                <w:rFonts w:cs="Calibri"/>
              </w:rPr>
              <w:t xml:space="preserve">Refer </w:t>
            </w:r>
            <w:r w:rsidR="00EE2537">
              <w:rPr>
                <w:rFonts w:cs="Calibri"/>
              </w:rPr>
              <w:t xml:space="preserve">Appendix A and the </w:t>
            </w:r>
            <w:r>
              <w:rPr>
                <w:rFonts w:cs="Calibri"/>
              </w:rPr>
              <w:t>WV SVI Index</w:t>
            </w:r>
            <w:r>
              <w:rPr>
                <w:rFonts w:cs="Calibri"/>
              </w:rPr>
              <w:t xml:space="preserve"> </w:t>
            </w:r>
            <w:hyperlink r:id="rId60" w:history="1">
              <w:r w:rsidRPr="00EE2537">
                <w:rPr>
                  <w:rStyle w:val="Hyperlink"/>
                  <w:rFonts w:cs="Calibri"/>
                </w:rPr>
                <w:t>report</w:t>
              </w:r>
            </w:hyperlink>
            <w:r>
              <w:rPr>
                <w:rFonts w:cs="Calibri"/>
              </w:rPr>
              <w:t xml:space="preserve"> for more information</w:t>
            </w:r>
            <w:r>
              <w:rPr>
                <w:rFonts w:cs="Calibri"/>
              </w:rPr>
              <w:t>.</w:t>
            </w:r>
          </w:p>
          <w:p w14:paraId="378D878C" w14:textId="248E5273" w:rsidR="001176FF" w:rsidRPr="006036E4" w:rsidRDefault="001176FF" w:rsidP="0080249C">
            <w:pPr>
              <w:rPr>
                <w:rFonts w:eastAsia="Times New Roman" w:cs="Calibri"/>
                <w:color w:val="000000"/>
              </w:rPr>
            </w:pP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FF70687"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r w:rsidR="00924E4C">
              <w:rPr>
                <w:rFonts w:cs="Calibri"/>
              </w:rPr>
              <w:t xml:space="preserve">  </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2" w:name="_Toc183642205"/>
            <w:r>
              <w:rPr>
                <w:rStyle w:val="Heading2Char"/>
              </w:rPr>
              <w:lastRenderedPageBreak/>
              <w:t>CUMULATIVE RISK INDEX</w:t>
            </w:r>
            <w:r w:rsidRPr="00C14218">
              <w:rPr>
                <w:rStyle w:val="Heading2Char"/>
              </w:rPr>
              <w:t xml:space="preserve"> (%)</w:t>
            </w:r>
            <w:bookmarkEnd w:id="32"/>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05FF7D32" w:rsidR="00D54799" w:rsidRDefault="000120DF" w:rsidP="008C7945">
            <w:pPr>
              <w:rPr>
                <w:rFonts w:eastAsia="Times New Roman" w:cs="Calibri"/>
                <w:color w:val="000000"/>
              </w:rPr>
            </w:pPr>
            <w:bookmarkStart w:id="33" w:name="_Hlk183527295"/>
            <w:r w:rsidRPr="007B423C">
              <w:rPr>
                <w:rFonts w:eastAsia="Times New Roman" w:cs="Calibri"/>
                <w:color w:val="000000"/>
              </w:rPr>
              <w:t>Intended users of th</w:t>
            </w:r>
            <w:r>
              <w:rPr>
                <w:rFonts w:eastAsia="Times New Roman" w:cs="Calibri"/>
                <w:color w:val="000000"/>
              </w:rPr>
              <w:t xml:space="preserve">is risk assessment study </w:t>
            </w:r>
            <w:r w:rsidRPr="007B423C">
              <w:rPr>
                <w:rFonts w:eastAsia="Times New Roman" w:cs="Calibri"/>
                <w:color w:val="000000"/>
              </w:rPr>
              <w:t xml:space="preserve">include </w:t>
            </w:r>
            <w:r>
              <w:rPr>
                <w:rFonts w:eastAsia="Times New Roman" w:cs="Calibri"/>
                <w:color w:val="000000"/>
              </w:rPr>
              <w:t>risk reduction associates (planners, researchers, mitigation specialists, etc.), emergency responders, floodplain managers, local officials, volunteer organizations, and the public.</w:t>
            </w:r>
            <w:r>
              <w:rPr>
                <w:rFonts w:eastAsia="Times New Roman" w:cs="Calibri"/>
                <w:color w:val="000000"/>
              </w:rPr>
              <w:t xml:space="preserve">  </w:t>
            </w:r>
            <w:r w:rsidR="00C4247B">
              <w:rPr>
                <w:rFonts w:eastAsia="Times New Roman" w:cs="Calibri"/>
                <w:color w:val="000000"/>
              </w:rPr>
              <w:t>Additionally, this detailed risk assessment information scan be incorporated in the updates of local hazard mitigation and emergency operations plans.</w:t>
            </w:r>
            <w:bookmarkEnd w:id="33"/>
            <w:r w:rsidR="00C4247B">
              <w:rPr>
                <w:rFonts w:eastAsia="Times New Roman" w:cs="Calibri"/>
                <w:color w:val="000000"/>
              </w:rPr>
              <w:t xml:space="preserve">  </w:t>
            </w:r>
            <w:r w:rsidR="00D54799">
              <w:rPr>
                <w:rFonts w:eastAsia="Times New Roman" w:cs="Calibri"/>
                <w:color w:val="000000"/>
              </w:rPr>
              <w:t>Both c</w:t>
            </w:r>
            <w:r w:rsidR="00D54799" w:rsidRPr="00B26148">
              <w:rPr>
                <w:rFonts w:eastAsia="Times New Roman" w:cs="Calibri"/>
                <w:color w:val="000000"/>
              </w:rPr>
              <w:t xml:space="preserve">ivic actors and academic researchers </w:t>
            </w:r>
            <w:r w:rsidR="00D54799">
              <w:rPr>
                <w:rFonts w:eastAsia="Times New Roman" w:cs="Calibri"/>
                <w:color w:val="000000"/>
              </w:rPr>
              <w:t xml:space="preserve">helped to launch </w:t>
            </w:r>
            <w:r w:rsidR="00D54799" w:rsidRPr="00B26148">
              <w:rPr>
                <w:rFonts w:eastAsia="Times New Roman" w:cs="Calibri"/>
                <w:color w:val="000000"/>
              </w:rPr>
              <w:t xml:space="preserve">the West Virginia Flood Resiliency Framework (WVFRF), a freely available online resource to support residents, local leaders, non-profits, and </w:t>
            </w:r>
            <w:r w:rsidR="00D54799">
              <w:rPr>
                <w:rFonts w:eastAsia="Times New Roman" w:cs="Calibri"/>
                <w:color w:val="000000"/>
              </w:rPr>
              <w:t>government</w:t>
            </w:r>
            <w:r w:rsidR="00D54799"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61"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495AF323" w:rsidR="007F69DB" w:rsidRDefault="007F69DB"/>
    <w:p w14:paraId="01819559" w14:textId="77777777" w:rsidR="00924E4C" w:rsidRDefault="00924E4C" w:rsidP="00924E4C">
      <w:pPr>
        <w:pStyle w:val="Heading1"/>
      </w:pPr>
      <w:bookmarkStart w:id="34" w:name="_Toc183642206"/>
      <w:r>
        <w:lastRenderedPageBreak/>
        <w:t>APPENDIX A: WV SVI Indicators and Descriptions</w:t>
      </w:r>
      <w:bookmarkEnd w:id="34"/>
      <w:r>
        <w:t xml:space="preserve"> </w:t>
      </w:r>
    </w:p>
    <w:p w14:paraId="634B27CF" w14:textId="77777777" w:rsidR="00924E4C" w:rsidRDefault="00924E4C" w:rsidP="00924E4C"/>
    <w:p w14:paraId="55431E0B" w14:textId="423B5BA0" w:rsidR="00924E4C" w:rsidRDefault="00924E4C" w:rsidP="00924E4C">
      <w:r>
        <w:t>Table A-1.  Eight WV Social Vulnerability Indicators; Description, Rationale, and Data Sources</w:t>
      </w:r>
      <w:r>
        <w:t xml:space="preserve">. </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95"/>
        <w:gridCol w:w="2520"/>
        <w:gridCol w:w="4140"/>
        <w:gridCol w:w="1082"/>
      </w:tblGrid>
      <w:tr w:rsidR="00924E4C" w:rsidRPr="005C5555" w14:paraId="5D6017D0" w14:textId="77777777" w:rsidTr="00924E4C">
        <w:trPr>
          <w:trHeight w:val="292"/>
          <w:tblHeader/>
        </w:trPr>
        <w:tc>
          <w:tcPr>
            <w:tcW w:w="1795" w:type="dxa"/>
            <w:shd w:val="clear" w:color="auto" w:fill="FAE2D5" w:themeFill="accent2" w:themeFillTint="33"/>
            <w:tcMar>
              <w:top w:w="72" w:type="dxa"/>
              <w:left w:w="144" w:type="dxa"/>
              <w:bottom w:w="72" w:type="dxa"/>
              <w:right w:w="144" w:type="dxa"/>
            </w:tcMar>
            <w:vAlign w:val="center"/>
            <w:hideMark/>
          </w:tcPr>
          <w:p w14:paraId="0AE47C3E" w14:textId="77777777" w:rsidR="00924E4C" w:rsidRPr="005C5555" w:rsidRDefault="00924E4C" w:rsidP="009703AB">
            <w:pPr>
              <w:jc w:val="center"/>
            </w:pPr>
            <w:r w:rsidRPr="005C5555">
              <w:rPr>
                <w:b/>
                <w:bCs/>
              </w:rPr>
              <w:t>Vulnerability Indicator</w:t>
            </w:r>
          </w:p>
        </w:tc>
        <w:tc>
          <w:tcPr>
            <w:tcW w:w="2520" w:type="dxa"/>
            <w:shd w:val="clear" w:color="auto" w:fill="FAE2D5" w:themeFill="accent2" w:themeFillTint="33"/>
            <w:tcMar>
              <w:top w:w="43" w:type="dxa"/>
              <w:left w:w="85" w:type="dxa"/>
              <w:bottom w:w="43" w:type="dxa"/>
              <w:right w:w="85" w:type="dxa"/>
            </w:tcMar>
            <w:vAlign w:val="center"/>
            <w:hideMark/>
          </w:tcPr>
          <w:p w14:paraId="7A7F0DBE" w14:textId="77777777" w:rsidR="00924E4C" w:rsidRPr="005C5555" w:rsidRDefault="00924E4C" w:rsidP="009703AB">
            <w:pPr>
              <w:jc w:val="center"/>
            </w:pPr>
            <w:r w:rsidRPr="005C5555">
              <w:rPr>
                <w:b/>
                <w:bCs/>
              </w:rPr>
              <w:t>Description</w:t>
            </w:r>
          </w:p>
        </w:tc>
        <w:tc>
          <w:tcPr>
            <w:tcW w:w="4140" w:type="dxa"/>
            <w:shd w:val="clear" w:color="auto" w:fill="FAE2D5" w:themeFill="accent2" w:themeFillTint="33"/>
            <w:tcMar>
              <w:top w:w="43" w:type="dxa"/>
              <w:left w:w="85" w:type="dxa"/>
              <w:bottom w:w="43" w:type="dxa"/>
              <w:right w:w="85" w:type="dxa"/>
            </w:tcMar>
            <w:vAlign w:val="center"/>
            <w:hideMark/>
          </w:tcPr>
          <w:p w14:paraId="773F2D34" w14:textId="77777777" w:rsidR="00924E4C" w:rsidRPr="005C5555" w:rsidRDefault="00924E4C" w:rsidP="009703AB">
            <w:pPr>
              <w:jc w:val="center"/>
            </w:pPr>
            <w:r w:rsidRPr="005C5555">
              <w:rPr>
                <w:b/>
                <w:bCs/>
              </w:rPr>
              <w:t>Rationale</w:t>
            </w:r>
          </w:p>
        </w:tc>
        <w:tc>
          <w:tcPr>
            <w:tcW w:w="1082" w:type="dxa"/>
            <w:shd w:val="clear" w:color="auto" w:fill="FAE2D5" w:themeFill="accent2" w:themeFillTint="33"/>
            <w:tcMar>
              <w:top w:w="43" w:type="dxa"/>
              <w:left w:w="85" w:type="dxa"/>
              <w:bottom w:w="43" w:type="dxa"/>
              <w:right w:w="85" w:type="dxa"/>
            </w:tcMar>
            <w:vAlign w:val="center"/>
            <w:hideMark/>
          </w:tcPr>
          <w:p w14:paraId="4DB61568" w14:textId="77777777" w:rsidR="00924E4C" w:rsidRPr="005C5555" w:rsidRDefault="00924E4C" w:rsidP="009703AB">
            <w:pPr>
              <w:jc w:val="center"/>
            </w:pPr>
            <w:r w:rsidRPr="005C5555">
              <w:rPr>
                <w:b/>
                <w:bCs/>
              </w:rPr>
              <w:t>Data Source</w:t>
            </w:r>
          </w:p>
        </w:tc>
      </w:tr>
      <w:tr w:rsidR="00924E4C" w:rsidRPr="005C5555" w14:paraId="14537412" w14:textId="77777777" w:rsidTr="009703AB">
        <w:trPr>
          <w:trHeight w:val="573"/>
        </w:trPr>
        <w:tc>
          <w:tcPr>
            <w:tcW w:w="1795" w:type="dxa"/>
            <w:shd w:val="clear" w:color="auto" w:fill="auto"/>
            <w:tcMar>
              <w:top w:w="43" w:type="dxa"/>
              <w:left w:w="85" w:type="dxa"/>
              <w:bottom w:w="43" w:type="dxa"/>
              <w:right w:w="85" w:type="dxa"/>
            </w:tcMar>
            <w:hideMark/>
          </w:tcPr>
          <w:p w14:paraId="4A7E6905" w14:textId="77777777" w:rsidR="00924E4C" w:rsidRDefault="00924E4C" w:rsidP="009703AB">
            <w:pPr>
              <w:jc w:val="center"/>
              <w:rPr>
                <w:b/>
                <w:bCs/>
              </w:rPr>
            </w:pPr>
            <w:r w:rsidRPr="005C5555">
              <w:rPr>
                <w:b/>
                <w:bCs/>
              </w:rPr>
              <w:t>Poverty Rate</w:t>
            </w:r>
          </w:p>
          <w:p w14:paraId="6E8FB237" w14:textId="77777777" w:rsidR="00924E4C" w:rsidRPr="005C5555" w:rsidRDefault="00924E4C" w:rsidP="009703AB">
            <w:pPr>
              <w:jc w:val="center"/>
            </w:pPr>
            <w:r w:rsidRPr="005C5555">
              <w:drawing>
                <wp:inline distT="0" distB="0" distL="0" distR="0" wp14:anchorId="448FF4F5" wp14:editId="61B52628">
                  <wp:extent cx="462006" cy="462006"/>
                  <wp:effectExtent l="0" t="0" r="0" b="0"/>
                  <wp:docPr id="28" name="Picture 27" descr="Icon&#10;&#10;Description automatically generated">
                    <a:extLst xmlns:a="http://schemas.openxmlformats.org/drawingml/2006/main">
                      <a:ext uri="{FF2B5EF4-FFF2-40B4-BE49-F238E27FC236}">
                        <a16:creationId xmlns:a16="http://schemas.microsoft.com/office/drawing/2014/main" id="{F106E3A5-69F2-4117-96EA-A5A5ADB7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F106E3A5-69F2-4117-96EA-A5A5ADB70537}"/>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9B4DA2D" w14:textId="77777777" w:rsidR="00924E4C" w:rsidRPr="00B176B6" w:rsidRDefault="00924E4C" w:rsidP="009703AB">
            <w:pPr>
              <w:rPr>
                <w:rFonts w:cs="Calibri"/>
              </w:rPr>
            </w:pPr>
            <w:r w:rsidRPr="00B176B6">
              <w:rPr>
                <w:rFonts w:cs="Calibri"/>
              </w:rPr>
              <w:t xml:space="preserve">Households with incomes below poverty level </w:t>
            </w:r>
          </w:p>
          <w:p w14:paraId="4A229CEE" w14:textId="77777777" w:rsidR="00924E4C" w:rsidRPr="005C5555" w:rsidRDefault="00924E4C" w:rsidP="009703AB"/>
        </w:tc>
        <w:tc>
          <w:tcPr>
            <w:tcW w:w="4140" w:type="dxa"/>
            <w:shd w:val="clear" w:color="auto" w:fill="auto"/>
            <w:tcMar>
              <w:top w:w="43" w:type="dxa"/>
              <w:left w:w="85" w:type="dxa"/>
              <w:bottom w:w="43" w:type="dxa"/>
              <w:right w:w="85" w:type="dxa"/>
            </w:tcMar>
            <w:hideMark/>
          </w:tcPr>
          <w:p w14:paraId="2CEB3339" w14:textId="77777777" w:rsidR="00924E4C" w:rsidRPr="005C5555" w:rsidRDefault="00924E4C" w:rsidP="009703AB">
            <w:r>
              <w:t xml:space="preserve">Economic Factor.  </w:t>
            </w:r>
            <w:r w:rsidRPr="005C5555">
              <w:t>The poor are less likely to have the income or assets needed to prepare for a possible disaster or to recover after it occurs (Cutter et al., 2003; Flanagan et al., 2011; Morrow, 1999; Thomas, 2017).</w:t>
            </w:r>
          </w:p>
        </w:tc>
        <w:tc>
          <w:tcPr>
            <w:tcW w:w="1082" w:type="dxa"/>
            <w:shd w:val="clear" w:color="auto" w:fill="auto"/>
            <w:tcMar>
              <w:top w:w="43" w:type="dxa"/>
              <w:left w:w="85" w:type="dxa"/>
              <w:bottom w:w="43" w:type="dxa"/>
              <w:right w:w="85" w:type="dxa"/>
            </w:tcMar>
            <w:hideMark/>
          </w:tcPr>
          <w:p w14:paraId="5618E69A" w14:textId="77777777" w:rsidR="00924E4C" w:rsidRPr="005C5555" w:rsidRDefault="00924E4C" w:rsidP="009703AB">
            <w:r w:rsidRPr="005C5555">
              <w:t>Census 2021 ACS 5-Year Estimates</w:t>
            </w:r>
          </w:p>
        </w:tc>
      </w:tr>
      <w:tr w:rsidR="00924E4C" w:rsidRPr="005C5555" w14:paraId="72A11EF6" w14:textId="77777777" w:rsidTr="009703AB">
        <w:trPr>
          <w:trHeight w:val="179"/>
        </w:trPr>
        <w:tc>
          <w:tcPr>
            <w:tcW w:w="1795" w:type="dxa"/>
            <w:shd w:val="clear" w:color="auto" w:fill="auto"/>
            <w:tcMar>
              <w:top w:w="43" w:type="dxa"/>
              <w:left w:w="85" w:type="dxa"/>
              <w:bottom w:w="43" w:type="dxa"/>
              <w:right w:w="85" w:type="dxa"/>
            </w:tcMar>
            <w:hideMark/>
          </w:tcPr>
          <w:p w14:paraId="60988D03" w14:textId="77777777" w:rsidR="00924E4C" w:rsidRDefault="00924E4C" w:rsidP="009703AB">
            <w:pPr>
              <w:jc w:val="center"/>
              <w:rPr>
                <w:b/>
                <w:bCs/>
              </w:rPr>
            </w:pPr>
            <w:r w:rsidRPr="005C5555">
              <w:rPr>
                <w:b/>
                <w:bCs/>
              </w:rPr>
              <w:t>Unemployment Rate</w:t>
            </w:r>
          </w:p>
          <w:p w14:paraId="576687F3" w14:textId="77777777" w:rsidR="00924E4C" w:rsidRPr="005C5555" w:rsidRDefault="00924E4C" w:rsidP="009703AB">
            <w:pPr>
              <w:jc w:val="center"/>
            </w:pPr>
            <w:r w:rsidRPr="005C5555">
              <w:drawing>
                <wp:inline distT="0" distB="0" distL="0" distR="0" wp14:anchorId="7D85AD7C" wp14:editId="0C5D6FE7">
                  <wp:extent cx="462006" cy="462006"/>
                  <wp:effectExtent l="0" t="0" r="0" b="0"/>
                  <wp:docPr id="29" name="Picture 28" descr="Logo, icon&#10;&#10;Description automatically generated">
                    <a:extLst xmlns:a="http://schemas.openxmlformats.org/drawingml/2006/main">
                      <a:ext uri="{FF2B5EF4-FFF2-40B4-BE49-F238E27FC236}">
                        <a16:creationId xmlns:a16="http://schemas.microsoft.com/office/drawing/2014/main" id="{27D8AD0C-43A1-41A0-B729-02B4B2065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 icon&#10;&#10;Description automatically generated">
                            <a:extLst>
                              <a:ext uri="{FF2B5EF4-FFF2-40B4-BE49-F238E27FC236}">
                                <a16:creationId xmlns:a16="http://schemas.microsoft.com/office/drawing/2014/main" id="{27D8AD0C-43A1-41A0-B729-02B4B20657B4}"/>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37A69A5" w14:textId="77777777" w:rsidR="00924E4C" w:rsidRPr="005C5555" w:rsidRDefault="00924E4C" w:rsidP="009703AB">
            <w:r w:rsidRPr="00B176B6">
              <w:t>Families with no workers in the past 12 months</w:t>
            </w:r>
          </w:p>
        </w:tc>
        <w:tc>
          <w:tcPr>
            <w:tcW w:w="4140" w:type="dxa"/>
            <w:shd w:val="clear" w:color="auto" w:fill="auto"/>
            <w:tcMar>
              <w:top w:w="43" w:type="dxa"/>
              <w:left w:w="85" w:type="dxa"/>
              <w:bottom w:w="43" w:type="dxa"/>
              <w:right w:w="85" w:type="dxa"/>
            </w:tcMar>
            <w:hideMark/>
          </w:tcPr>
          <w:p w14:paraId="5A3395CA" w14:textId="77777777" w:rsidR="00924E4C" w:rsidRPr="005C5555" w:rsidRDefault="00924E4C" w:rsidP="009703AB">
            <w:r>
              <w:rPr>
                <w:rFonts w:eastAsia="Times New Roman" w:cs="Calibri"/>
                <w:color w:val="000000"/>
              </w:rPr>
              <w:t xml:space="preserve">Economic Factor.  </w:t>
            </w:r>
            <w:r w:rsidRPr="001176FF">
              <w:rPr>
                <w:rFonts w:eastAsia="Times New Roman" w:cs="Calibri"/>
                <w:color w:val="000000"/>
              </w:rPr>
              <w:t>The unemployed may not have any financial assets or health benefits to recover from disasters.</w:t>
            </w:r>
            <w:r>
              <w:rPr>
                <w:rFonts w:eastAsia="Times New Roman" w:cs="Calibri"/>
                <w:color w:val="000000"/>
              </w:rPr>
              <w:t xml:space="preserve"> </w:t>
            </w:r>
            <w:r w:rsidRPr="005C5555">
              <w:t xml:space="preserve"> (Brodie et al., 2006; Flanagan et al., 2011).</w:t>
            </w:r>
          </w:p>
        </w:tc>
        <w:tc>
          <w:tcPr>
            <w:tcW w:w="1082" w:type="dxa"/>
            <w:shd w:val="clear" w:color="auto" w:fill="auto"/>
            <w:tcMar>
              <w:top w:w="43" w:type="dxa"/>
              <w:left w:w="85" w:type="dxa"/>
              <w:bottom w:w="43" w:type="dxa"/>
              <w:right w:w="85" w:type="dxa"/>
            </w:tcMar>
            <w:hideMark/>
          </w:tcPr>
          <w:p w14:paraId="08063EBA" w14:textId="77777777" w:rsidR="00924E4C" w:rsidRPr="005C5555" w:rsidRDefault="00924E4C" w:rsidP="009703AB">
            <w:r w:rsidRPr="005C5555">
              <w:t>Census 2021 ACS 5-Year Estimates</w:t>
            </w:r>
          </w:p>
        </w:tc>
      </w:tr>
      <w:tr w:rsidR="00924E4C" w:rsidRPr="005C5555" w14:paraId="5C1E8F38" w14:textId="77777777" w:rsidTr="009703AB">
        <w:tc>
          <w:tcPr>
            <w:tcW w:w="1795" w:type="dxa"/>
            <w:shd w:val="clear" w:color="auto" w:fill="auto"/>
            <w:tcMar>
              <w:top w:w="43" w:type="dxa"/>
              <w:left w:w="85" w:type="dxa"/>
              <w:bottom w:w="43" w:type="dxa"/>
              <w:right w:w="85" w:type="dxa"/>
            </w:tcMar>
            <w:hideMark/>
          </w:tcPr>
          <w:p w14:paraId="2A2DC8D1" w14:textId="77777777" w:rsidR="00924E4C" w:rsidRDefault="00924E4C" w:rsidP="009703AB">
            <w:pPr>
              <w:jc w:val="center"/>
              <w:rPr>
                <w:b/>
                <w:bCs/>
              </w:rPr>
            </w:pPr>
            <w:r w:rsidRPr="005C5555">
              <w:rPr>
                <w:b/>
                <w:bCs/>
              </w:rPr>
              <w:t>Vulnerable Ages Ratio</w:t>
            </w:r>
          </w:p>
          <w:p w14:paraId="397DC0BC" w14:textId="77777777" w:rsidR="00924E4C" w:rsidRDefault="00924E4C" w:rsidP="009703AB">
            <w:pPr>
              <w:jc w:val="center"/>
              <w:rPr>
                <w:b/>
                <w:bCs/>
              </w:rPr>
            </w:pPr>
            <w:r w:rsidRPr="005C5555">
              <w:rPr>
                <w:b/>
                <w:bCs/>
              </w:rPr>
              <w:drawing>
                <wp:inline distT="0" distB="0" distL="0" distR="0" wp14:anchorId="779A9C26" wp14:editId="01655698">
                  <wp:extent cx="462006" cy="462006"/>
                  <wp:effectExtent l="0" t="0" r="0" b="0"/>
                  <wp:docPr id="27" name="Picture 26" descr="Icon&#10;&#10;Description automatically generated">
                    <a:extLst xmlns:a="http://schemas.openxmlformats.org/drawingml/2006/main">
                      <a:ext uri="{FF2B5EF4-FFF2-40B4-BE49-F238E27FC236}">
                        <a16:creationId xmlns:a16="http://schemas.microsoft.com/office/drawing/2014/main" id="{BC95AC05-46B3-425C-99C4-4C71053BA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con&#10;&#10;Description automatically generated">
                            <a:extLst>
                              <a:ext uri="{FF2B5EF4-FFF2-40B4-BE49-F238E27FC236}">
                                <a16:creationId xmlns:a16="http://schemas.microsoft.com/office/drawing/2014/main" id="{BC95AC05-46B3-425C-99C4-4C71053BA177}"/>
                              </a:ext>
                            </a:extLst>
                          </pic:cNvPr>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2857B8B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48567589" w14:textId="77777777" w:rsidR="00924E4C" w:rsidRPr="005C5555" w:rsidRDefault="00924E4C" w:rsidP="009703AB">
            <w:r w:rsidRPr="005C5555">
              <w:t>Percentage of population in two groups of “younger than 15” or “65 and older”</w:t>
            </w:r>
          </w:p>
        </w:tc>
        <w:tc>
          <w:tcPr>
            <w:tcW w:w="4140" w:type="dxa"/>
            <w:shd w:val="clear" w:color="auto" w:fill="auto"/>
            <w:tcMar>
              <w:top w:w="43" w:type="dxa"/>
              <w:left w:w="85" w:type="dxa"/>
              <w:bottom w:w="43" w:type="dxa"/>
              <w:right w:w="85" w:type="dxa"/>
            </w:tcMar>
            <w:hideMark/>
          </w:tcPr>
          <w:p w14:paraId="37E7EAED" w14:textId="77777777" w:rsidR="00924E4C" w:rsidRPr="005C5555" w:rsidRDefault="00924E4C" w:rsidP="009703AB">
            <w:r>
              <w:t xml:space="preserve">Population Factor.  </w:t>
            </w:r>
            <w:r w:rsidRPr="005C5555">
              <w:t>Children and the elderly are generally more vulnerable to disasters such as flooding due to the lack of experience or physical and cognitive limitations to protect themselves (Cutter et al., 2003; Flanagan et al., 2011; Morrow, 1999).</w:t>
            </w:r>
          </w:p>
        </w:tc>
        <w:tc>
          <w:tcPr>
            <w:tcW w:w="1082" w:type="dxa"/>
            <w:shd w:val="clear" w:color="auto" w:fill="auto"/>
            <w:tcMar>
              <w:top w:w="43" w:type="dxa"/>
              <w:left w:w="85" w:type="dxa"/>
              <w:bottom w:w="43" w:type="dxa"/>
              <w:right w:w="85" w:type="dxa"/>
            </w:tcMar>
            <w:hideMark/>
          </w:tcPr>
          <w:p w14:paraId="572C5DFD" w14:textId="77777777" w:rsidR="00924E4C" w:rsidRPr="005C5555" w:rsidRDefault="00924E4C" w:rsidP="009703AB">
            <w:r w:rsidRPr="005C5555">
              <w:t>Census 2021 ACS 5-Year Estimates</w:t>
            </w:r>
          </w:p>
        </w:tc>
      </w:tr>
      <w:tr w:rsidR="00924E4C" w:rsidRPr="005C5555" w14:paraId="22E9237E" w14:textId="77777777" w:rsidTr="009703AB">
        <w:tc>
          <w:tcPr>
            <w:tcW w:w="1795" w:type="dxa"/>
            <w:shd w:val="clear" w:color="auto" w:fill="auto"/>
            <w:tcMar>
              <w:top w:w="43" w:type="dxa"/>
              <w:left w:w="85" w:type="dxa"/>
              <w:bottom w:w="43" w:type="dxa"/>
              <w:right w:w="85" w:type="dxa"/>
            </w:tcMar>
            <w:hideMark/>
          </w:tcPr>
          <w:p w14:paraId="1B694F28" w14:textId="77777777" w:rsidR="00924E4C" w:rsidRDefault="00924E4C" w:rsidP="009703AB">
            <w:pPr>
              <w:jc w:val="center"/>
              <w:rPr>
                <w:b/>
                <w:bCs/>
              </w:rPr>
            </w:pPr>
            <w:r w:rsidRPr="005C5555">
              <w:rPr>
                <w:b/>
                <w:bCs/>
              </w:rPr>
              <w:t>Disability Ratio</w:t>
            </w:r>
          </w:p>
          <w:p w14:paraId="320E7604" w14:textId="77777777" w:rsidR="00924E4C" w:rsidRDefault="00924E4C" w:rsidP="009703AB">
            <w:pPr>
              <w:jc w:val="center"/>
              <w:rPr>
                <w:b/>
                <w:bCs/>
              </w:rPr>
            </w:pPr>
            <w:r w:rsidRPr="005C5555">
              <w:drawing>
                <wp:inline distT="0" distB="0" distL="0" distR="0" wp14:anchorId="27B7B134" wp14:editId="4D15E345">
                  <wp:extent cx="462006" cy="462006"/>
                  <wp:effectExtent l="0" t="0" r="0" b="0"/>
                  <wp:docPr id="30" name="Picture 29" descr="Icon&#10;&#10;Description automatically generated">
                    <a:extLst xmlns:a="http://schemas.openxmlformats.org/drawingml/2006/main">
                      <a:ext uri="{FF2B5EF4-FFF2-40B4-BE49-F238E27FC236}">
                        <a16:creationId xmlns:a16="http://schemas.microsoft.com/office/drawing/2014/main" id="{6ABA3B2C-6E87-4A99-90F3-21C6C3DAA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6ABA3B2C-6E87-4A99-90F3-21C6C3DAAC6A}"/>
                              </a:ext>
                            </a:extLst>
                          </pic:cNvPr>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6FD2520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72A23A9F" w14:textId="77777777" w:rsidR="00924E4C" w:rsidRPr="005C5555" w:rsidRDefault="00924E4C" w:rsidP="009703AB">
            <w:r w:rsidRPr="00B176B6">
              <w:t>Civilian noninstitutionalized population with disabilities of independent living, self-care, ambulatory, cognitive, vision, or hearing difficulties</w:t>
            </w:r>
          </w:p>
        </w:tc>
        <w:tc>
          <w:tcPr>
            <w:tcW w:w="4140" w:type="dxa"/>
            <w:shd w:val="clear" w:color="auto" w:fill="auto"/>
            <w:tcMar>
              <w:top w:w="43" w:type="dxa"/>
              <w:left w:w="85" w:type="dxa"/>
              <w:bottom w:w="43" w:type="dxa"/>
              <w:right w:w="85" w:type="dxa"/>
            </w:tcMar>
            <w:hideMark/>
          </w:tcPr>
          <w:p w14:paraId="54AFE2AB" w14:textId="77777777" w:rsidR="00924E4C" w:rsidRPr="005C5555" w:rsidRDefault="00924E4C" w:rsidP="009703AB">
            <w:r>
              <w:t xml:space="preserve">Population Factor.  </w:t>
            </w:r>
            <w:r w:rsidRPr="005C5555">
              <w:t>Disabled people are more vulnerable to natural hazards such as flooding and may require special assistance to evacuate (Cutter et al., 2003; Flanagan et al., 2011; Morrow, 1999).</w:t>
            </w:r>
          </w:p>
        </w:tc>
        <w:tc>
          <w:tcPr>
            <w:tcW w:w="1082" w:type="dxa"/>
            <w:shd w:val="clear" w:color="auto" w:fill="auto"/>
            <w:tcMar>
              <w:top w:w="43" w:type="dxa"/>
              <w:left w:w="85" w:type="dxa"/>
              <w:bottom w:w="43" w:type="dxa"/>
              <w:right w:w="85" w:type="dxa"/>
            </w:tcMar>
            <w:hideMark/>
          </w:tcPr>
          <w:p w14:paraId="7A978C2A" w14:textId="77777777" w:rsidR="00924E4C" w:rsidRPr="005C5555" w:rsidRDefault="00924E4C" w:rsidP="009703AB">
            <w:r w:rsidRPr="005C5555">
              <w:t>Census 2021 ACS 5-Year Estimates</w:t>
            </w:r>
          </w:p>
        </w:tc>
      </w:tr>
      <w:tr w:rsidR="00924E4C" w:rsidRPr="005C5555" w14:paraId="22768066" w14:textId="77777777" w:rsidTr="009703AB">
        <w:tc>
          <w:tcPr>
            <w:tcW w:w="1795" w:type="dxa"/>
            <w:shd w:val="clear" w:color="auto" w:fill="auto"/>
            <w:tcMar>
              <w:top w:w="43" w:type="dxa"/>
              <w:left w:w="85" w:type="dxa"/>
              <w:bottom w:w="43" w:type="dxa"/>
              <w:right w:w="85" w:type="dxa"/>
            </w:tcMar>
            <w:hideMark/>
          </w:tcPr>
          <w:p w14:paraId="6503528B" w14:textId="77777777" w:rsidR="00924E4C" w:rsidRDefault="00924E4C" w:rsidP="009703AB">
            <w:pPr>
              <w:jc w:val="center"/>
              <w:rPr>
                <w:b/>
                <w:bCs/>
              </w:rPr>
            </w:pPr>
            <w:r w:rsidRPr="005C5555">
              <w:rPr>
                <w:b/>
                <w:bCs/>
              </w:rPr>
              <w:t>No High School Diploma Ratio</w:t>
            </w:r>
          </w:p>
          <w:p w14:paraId="4B827A0F" w14:textId="77777777" w:rsidR="00924E4C" w:rsidRPr="005C5555" w:rsidRDefault="00924E4C" w:rsidP="009703AB">
            <w:pPr>
              <w:jc w:val="center"/>
            </w:pPr>
            <w:r w:rsidRPr="005C7B9F">
              <w:drawing>
                <wp:inline distT="0" distB="0" distL="0" distR="0" wp14:anchorId="5BBCA911" wp14:editId="6FAECEFC">
                  <wp:extent cx="462006" cy="462006"/>
                  <wp:effectExtent l="0" t="0" r="0" b="0"/>
                  <wp:docPr id="25" name="Picture 24" descr="A blue and white symbol with a graduation cap&#10;&#10;Description automatically generated">
                    <a:extLst xmlns:a="http://schemas.openxmlformats.org/drawingml/2006/main">
                      <a:ext uri="{FF2B5EF4-FFF2-40B4-BE49-F238E27FC236}">
                        <a16:creationId xmlns:a16="http://schemas.microsoft.com/office/drawing/2014/main" id="{687B75D4-633C-4494-88F5-2A0F0E51A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blue and white symbol with a graduation cap&#10;&#10;Description automatically generated">
                            <a:extLst>
                              <a:ext uri="{FF2B5EF4-FFF2-40B4-BE49-F238E27FC236}">
                                <a16:creationId xmlns:a16="http://schemas.microsoft.com/office/drawing/2014/main" id="{687B75D4-633C-4494-88F5-2A0F0E51A595}"/>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79169F0" w14:textId="77777777" w:rsidR="00924E4C" w:rsidRPr="005C5555" w:rsidRDefault="00924E4C" w:rsidP="009703AB">
            <w:r w:rsidRPr="00B176B6">
              <w:t>Population 25 years and older with no high school diploma</w:t>
            </w:r>
          </w:p>
        </w:tc>
        <w:tc>
          <w:tcPr>
            <w:tcW w:w="4140" w:type="dxa"/>
            <w:shd w:val="clear" w:color="auto" w:fill="auto"/>
            <w:tcMar>
              <w:top w:w="43" w:type="dxa"/>
              <w:left w:w="85" w:type="dxa"/>
              <w:bottom w:w="43" w:type="dxa"/>
              <w:right w:w="85" w:type="dxa"/>
            </w:tcMar>
            <w:hideMark/>
          </w:tcPr>
          <w:p w14:paraId="509A09E2" w14:textId="77777777" w:rsidR="00924E4C" w:rsidRPr="005C5555" w:rsidRDefault="00924E4C" w:rsidP="009703AB">
            <w:r>
              <w:t xml:space="preserve">Population Factor.  </w:t>
            </w:r>
            <w:r w:rsidRPr="005C5555">
              <w:t>Highly educated individuals and societies are reported to have better preparedness and response to disasters, suffered lower negative impacts, and can recover faster (</w:t>
            </w:r>
            <w:proofErr w:type="spellStart"/>
            <w:r w:rsidRPr="005C5555">
              <w:t>Muttarak</w:t>
            </w:r>
            <w:proofErr w:type="spellEnd"/>
            <w:r w:rsidRPr="005C5555">
              <w:t xml:space="preserve"> &amp; Lutz, 2014</w:t>
            </w:r>
            <w:r>
              <w:t xml:space="preserve">; </w:t>
            </w:r>
            <w:hyperlink r:id="rId67" w:history="1">
              <w:r w:rsidRPr="001176FF">
                <w:rPr>
                  <w:rStyle w:val="Hyperlink"/>
                  <w:rFonts w:eastAsia="Times New Roman" w:cs="Calibri"/>
                </w:rPr>
                <w:t>JSTOR</w:t>
              </w:r>
            </w:hyperlink>
            <w:r w:rsidRPr="001176FF">
              <w:rPr>
                <w:rFonts w:eastAsia="Times New Roman" w:cs="Calibri"/>
                <w:color w:val="000000"/>
              </w:rPr>
              <w:t>.</w:t>
            </w:r>
            <w:r w:rsidRPr="005C5555">
              <w:t xml:space="preserve">). </w:t>
            </w:r>
          </w:p>
        </w:tc>
        <w:tc>
          <w:tcPr>
            <w:tcW w:w="1082" w:type="dxa"/>
            <w:shd w:val="clear" w:color="auto" w:fill="auto"/>
            <w:tcMar>
              <w:top w:w="43" w:type="dxa"/>
              <w:left w:w="85" w:type="dxa"/>
              <w:bottom w:w="43" w:type="dxa"/>
              <w:right w:w="85" w:type="dxa"/>
            </w:tcMar>
            <w:hideMark/>
          </w:tcPr>
          <w:p w14:paraId="4079F9F2" w14:textId="77777777" w:rsidR="00924E4C" w:rsidRPr="005C5555" w:rsidRDefault="00924E4C" w:rsidP="009703AB">
            <w:r w:rsidRPr="005C5555">
              <w:t>Census 2021 ACS 5-Year Estimates</w:t>
            </w:r>
          </w:p>
        </w:tc>
      </w:tr>
      <w:tr w:rsidR="00924E4C" w:rsidRPr="005C5555" w14:paraId="1502FBBC" w14:textId="77777777" w:rsidTr="009703AB">
        <w:tc>
          <w:tcPr>
            <w:tcW w:w="1795" w:type="dxa"/>
            <w:shd w:val="clear" w:color="auto" w:fill="auto"/>
            <w:tcMar>
              <w:top w:w="43" w:type="dxa"/>
              <w:left w:w="85" w:type="dxa"/>
              <w:bottom w:w="43" w:type="dxa"/>
              <w:right w:w="85" w:type="dxa"/>
            </w:tcMar>
            <w:hideMark/>
          </w:tcPr>
          <w:p w14:paraId="37288779" w14:textId="77777777" w:rsidR="00924E4C" w:rsidRDefault="00924E4C" w:rsidP="009703AB">
            <w:pPr>
              <w:jc w:val="center"/>
              <w:rPr>
                <w:b/>
                <w:bCs/>
              </w:rPr>
            </w:pPr>
            <w:r w:rsidRPr="005C5555">
              <w:rPr>
                <w:b/>
                <w:bCs/>
              </w:rPr>
              <w:lastRenderedPageBreak/>
              <w:t xml:space="preserve">Population </w:t>
            </w:r>
            <w:r>
              <w:rPr>
                <w:b/>
                <w:bCs/>
              </w:rPr>
              <w:t>Change</w:t>
            </w:r>
          </w:p>
          <w:p w14:paraId="28E1EC33" w14:textId="77777777" w:rsidR="00924E4C" w:rsidRPr="005C5555" w:rsidRDefault="00924E4C" w:rsidP="009703AB">
            <w:pPr>
              <w:jc w:val="center"/>
            </w:pPr>
            <w:r w:rsidRPr="005C7B9F">
              <w:drawing>
                <wp:inline distT="0" distB="0" distL="0" distR="0" wp14:anchorId="20478346" wp14:editId="7283D34B">
                  <wp:extent cx="462006" cy="462006"/>
                  <wp:effectExtent l="0" t="0" r="0" b="0"/>
                  <wp:docPr id="31" name="Picture 30" descr="Icon&#10;&#10;Description automatically generated">
                    <a:extLst xmlns:a="http://schemas.openxmlformats.org/drawingml/2006/main">
                      <a:ext uri="{FF2B5EF4-FFF2-40B4-BE49-F238E27FC236}">
                        <a16:creationId xmlns:a16="http://schemas.microsoft.com/office/drawing/2014/main" id="{670BA2AE-262C-4E05-89AC-938C13D52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Icon&#10;&#10;Description automatically generated">
                            <a:extLst>
                              <a:ext uri="{FF2B5EF4-FFF2-40B4-BE49-F238E27FC236}">
                                <a16:creationId xmlns:a16="http://schemas.microsoft.com/office/drawing/2014/main" id="{670BA2AE-262C-4E05-89AC-938C13D52978}"/>
                              </a:ext>
                            </a:extLst>
                          </pic:cNvPr>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7E2F1FB0" w14:textId="77777777" w:rsidR="00924E4C" w:rsidRPr="005C5555" w:rsidRDefault="00924E4C" w:rsidP="009703AB">
            <w:r w:rsidRPr="005C5555">
              <w:t>Percentage of population change from 2010 to 2020</w:t>
            </w:r>
          </w:p>
        </w:tc>
        <w:tc>
          <w:tcPr>
            <w:tcW w:w="4140" w:type="dxa"/>
            <w:shd w:val="clear" w:color="auto" w:fill="auto"/>
            <w:tcMar>
              <w:top w:w="43" w:type="dxa"/>
              <w:left w:w="85" w:type="dxa"/>
              <w:bottom w:w="43" w:type="dxa"/>
              <w:right w:w="85" w:type="dxa"/>
            </w:tcMar>
            <w:hideMark/>
          </w:tcPr>
          <w:p w14:paraId="70DFA7DC" w14:textId="77777777" w:rsidR="00924E4C" w:rsidRDefault="00924E4C" w:rsidP="009703AB">
            <w:r>
              <w:t xml:space="preserve">Population Factor.  </w:t>
            </w:r>
            <w:r w:rsidRPr="00E64DFA">
              <w:t>A community with a negative population growth rate in the SFHA area will likely have less resources to recover from a major flood disaster than an area undergoing economic growth.</w:t>
            </w:r>
            <w:r>
              <w:t xml:space="preserve">  </w:t>
            </w:r>
          </w:p>
          <w:p w14:paraId="4F3785C0" w14:textId="77777777" w:rsidR="00924E4C" w:rsidRPr="005C5555" w:rsidRDefault="00924E4C" w:rsidP="009703AB">
            <w:r w:rsidRPr="005C5555">
              <w:t>Although rapid population growth in dense urban areas can contribute to the risk (Cutter et al., 2003) we believe population decrease can be a factor of social vulnerability in WV communities.</w:t>
            </w:r>
          </w:p>
        </w:tc>
        <w:tc>
          <w:tcPr>
            <w:tcW w:w="1082" w:type="dxa"/>
            <w:shd w:val="clear" w:color="auto" w:fill="auto"/>
            <w:tcMar>
              <w:top w:w="43" w:type="dxa"/>
              <w:left w:w="85" w:type="dxa"/>
              <w:bottom w:w="43" w:type="dxa"/>
              <w:right w:w="85" w:type="dxa"/>
            </w:tcMar>
            <w:hideMark/>
          </w:tcPr>
          <w:p w14:paraId="20130712" w14:textId="77777777" w:rsidR="00924E4C" w:rsidRPr="005C5555" w:rsidRDefault="00924E4C" w:rsidP="009703AB">
            <w:r w:rsidRPr="005C5555">
              <w:t>Decennial Census (DEC) of 2010 &amp; 2020</w:t>
            </w:r>
          </w:p>
        </w:tc>
      </w:tr>
      <w:tr w:rsidR="00924E4C" w:rsidRPr="005C5555" w14:paraId="441F31BF" w14:textId="77777777" w:rsidTr="009703AB">
        <w:tc>
          <w:tcPr>
            <w:tcW w:w="1795" w:type="dxa"/>
            <w:shd w:val="clear" w:color="auto" w:fill="auto"/>
            <w:tcMar>
              <w:top w:w="43" w:type="dxa"/>
              <w:left w:w="85" w:type="dxa"/>
              <w:bottom w:w="43" w:type="dxa"/>
              <w:right w:w="85" w:type="dxa"/>
            </w:tcMar>
            <w:hideMark/>
          </w:tcPr>
          <w:p w14:paraId="2E8005A2" w14:textId="77777777" w:rsidR="00924E4C" w:rsidRDefault="00924E4C" w:rsidP="009703AB">
            <w:pPr>
              <w:jc w:val="center"/>
              <w:rPr>
                <w:b/>
                <w:bCs/>
              </w:rPr>
            </w:pPr>
            <w:r w:rsidRPr="005C5555">
              <w:rPr>
                <w:b/>
                <w:bCs/>
              </w:rPr>
              <w:t>Housing Median Value</w:t>
            </w:r>
          </w:p>
          <w:p w14:paraId="0064E362" w14:textId="77777777" w:rsidR="00924E4C" w:rsidRPr="005C5555" w:rsidRDefault="00924E4C" w:rsidP="009703AB">
            <w:pPr>
              <w:jc w:val="center"/>
            </w:pPr>
            <w:r w:rsidRPr="005C7B9F">
              <w:drawing>
                <wp:inline distT="0" distB="0" distL="0" distR="0" wp14:anchorId="464DCD4C" wp14:editId="31C9A990">
                  <wp:extent cx="469687" cy="469687"/>
                  <wp:effectExtent l="0" t="0" r="6985" b="6985"/>
                  <wp:docPr id="32" name="Picture 31" descr="Icon&#10;&#10;Description automatically generated">
                    <a:extLst xmlns:a="http://schemas.openxmlformats.org/drawingml/2006/main">
                      <a:ext uri="{FF2B5EF4-FFF2-40B4-BE49-F238E27FC236}">
                        <a16:creationId xmlns:a16="http://schemas.microsoft.com/office/drawing/2014/main" id="{5BD423AE-884B-4F54-BA4E-BB385735D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Icon&#10;&#10;Description automatically generated">
                            <a:extLst>
                              <a:ext uri="{FF2B5EF4-FFF2-40B4-BE49-F238E27FC236}">
                                <a16:creationId xmlns:a16="http://schemas.microsoft.com/office/drawing/2014/main" id="{5BD423AE-884B-4F54-BA4E-BB385735DFA8}"/>
                              </a:ext>
                            </a:extLst>
                          </pic:cNvPr>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3973DDAD" w14:textId="77777777" w:rsidR="00924E4C" w:rsidRPr="005C5555" w:rsidRDefault="00924E4C" w:rsidP="009703AB">
            <w:r w:rsidRPr="005C5555">
              <w:t>Median dollar values of owner-occupied residential units</w:t>
            </w:r>
          </w:p>
        </w:tc>
        <w:tc>
          <w:tcPr>
            <w:tcW w:w="4140" w:type="dxa"/>
            <w:shd w:val="clear" w:color="auto" w:fill="auto"/>
            <w:tcMar>
              <w:top w:w="43" w:type="dxa"/>
              <w:left w:w="85" w:type="dxa"/>
              <w:bottom w:w="43" w:type="dxa"/>
              <w:right w:w="85" w:type="dxa"/>
            </w:tcMar>
            <w:hideMark/>
          </w:tcPr>
          <w:p w14:paraId="2D0BFCBC" w14:textId="77777777" w:rsidR="00924E4C" w:rsidRDefault="00924E4C" w:rsidP="009703AB">
            <w:r>
              <w:t xml:space="preserve">Housing Factor.  </w:t>
            </w:r>
            <w:r w:rsidRPr="005C5555">
              <w:t xml:space="preserve">The value can be an indicator of building quality. Buildings of low quality cannot withstand flooding adequately and are more vulnerable. </w:t>
            </w:r>
          </w:p>
          <w:p w14:paraId="3FEB73B7" w14:textId="77777777" w:rsidR="00924E4C" w:rsidRPr="005C5555" w:rsidRDefault="00924E4C" w:rsidP="009703AB">
            <w:r w:rsidRPr="005C5555">
              <w:t>Residents in communities with higher median housing values may be more likely to carry flood insurance policies, as their properties represent substantial investments. This can enhance financial preparedness and resilience (Flanagan et al., 2011; Morrow, 1999; Thieken et al., 2008).</w:t>
            </w:r>
          </w:p>
        </w:tc>
        <w:tc>
          <w:tcPr>
            <w:tcW w:w="1082" w:type="dxa"/>
            <w:shd w:val="clear" w:color="auto" w:fill="auto"/>
            <w:tcMar>
              <w:top w:w="43" w:type="dxa"/>
              <w:left w:w="85" w:type="dxa"/>
              <w:bottom w:w="43" w:type="dxa"/>
              <w:right w:w="85" w:type="dxa"/>
            </w:tcMar>
            <w:hideMark/>
          </w:tcPr>
          <w:p w14:paraId="46C30EE5" w14:textId="77777777" w:rsidR="00924E4C" w:rsidRPr="005C5555" w:rsidRDefault="00924E4C" w:rsidP="009703AB">
            <w:r w:rsidRPr="005C5555">
              <w:t>Census 2021 ACS 5-Year Estimates</w:t>
            </w:r>
          </w:p>
        </w:tc>
      </w:tr>
      <w:tr w:rsidR="00924E4C" w:rsidRPr="005C5555" w14:paraId="04FEF880" w14:textId="77777777" w:rsidTr="009703AB">
        <w:trPr>
          <w:trHeight w:val="607"/>
        </w:trPr>
        <w:tc>
          <w:tcPr>
            <w:tcW w:w="1795" w:type="dxa"/>
            <w:shd w:val="clear" w:color="auto" w:fill="auto"/>
            <w:tcMar>
              <w:top w:w="43" w:type="dxa"/>
              <w:left w:w="85" w:type="dxa"/>
              <w:bottom w:w="43" w:type="dxa"/>
              <w:right w:w="85" w:type="dxa"/>
            </w:tcMar>
            <w:hideMark/>
          </w:tcPr>
          <w:p w14:paraId="7BC43BF5" w14:textId="77777777" w:rsidR="00924E4C" w:rsidRDefault="00924E4C" w:rsidP="009703AB">
            <w:pPr>
              <w:jc w:val="center"/>
              <w:rPr>
                <w:b/>
                <w:bCs/>
              </w:rPr>
            </w:pPr>
            <w:r w:rsidRPr="005C5555">
              <w:rPr>
                <w:b/>
                <w:bCs/>
              </w:rPr>
              <w:t>Mobile Homes Ratio</w:t>
            </w:r>
          </w:p>
          <w:p w14:paraId="323D2276" w14:textId="77777777" w:rsidR="00924E4C" w:rsidRPr="005C5555" w:rsidRDefault="00924E4C" w:rsidP="009703AB">
            <w:pPr>
              <w:jc w:val="center"/>
            </w:pPr>
            <w:r w:rsidRPr="005C7B9F">
              <w:drawing>
                <wp:inline distT="0" distB="0" distL="0" distR="0" wp14:anchorId="207AC1B2" wp14:editId="20658EFA">
                  <wp:extent cx="469687" cy="469687"/>
                  <wp:effectExtent l="0" t="0" r="6985" b="6985"/>
                  <wp:docPr id="26" name="Picture 25" descr="A blue and white bus&#10;&#10;Description automatically generated">
                    <a:extLst xmlns:a="http://schemas.openxmlformats.org/drawingml/2006/main">
                      <a:ext uri="{FF2B5EF4-FFF2-40B4-BE49-F238E27FC236}">
                        <a16:creationId xmlns:a16="http://schemas.microsoft.com/office/drawing/2014/main" id="{E460160F-7242-4115-B8FD-699318560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blue and white bus&#10;&#10;Description automatically generated">
                            <a:extLst>
                              <a:ext uri="{FF2B5EF4-FFF2-40B4-BE49-F238E27FC236}">
                                <a16:creationId xmlns:a16="http://schemas.microsoft.com/office/drawing/2014/main" id="{E460160F-7242-4115-B8FD-699318560DC1}"/>
                              </a:ext>
                            </a:extLst>
                          </pic:cNvPr>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E5FD777" w14:textId="77777777" w:rsidR="00924E4C" w:rsidRPr="005C5555" w:rsidRDefault="00924E4C" w:rsidP="009703AB">
            <w:r w:rsidRPr="005C5555">
              <w:t>Percentage of manufactured homes in the whole community</w:t>
            </w:r>
          </w:p>
        </w:tc>
        <w:tc>
          <w:tcPr>
            <w:tcW w:w="4140" w:type="dxa"/>
            <w:shd w:val="clear" w:color="auto" w:fill="auto"/>
            <w:tcMar>
              <w:top w:w="43" w:type="dxa"/>
              <w:left w:w="85" w:type="dxa"/>
              <w:bottom w:w="43" w:type="dxa"/>
              <w:right w:w="85" w:type="dxa"/>
            </w:tcMar>
            <w:hideMark/>
          </w:tcPr>
          <w:p w14:paraId="6DD9DED2" w14:textId="77777777" w:rsidR="00924E4C" w:rsidRPr="005C5555" w:rsidRDefault="00924E4C" w:rsidP="009703AB">
            <w:r>
              <w:t xml:space="preserve">Housing Factor.  </w:t>
            </w:r>
            <w:r w:rsidRPr="005C5555">
              <w:t>Light</w:t>
            </w:r>
            <w:r>
              <w:t>-</w:t>
            </w:r>
            <w:r w:rsidRPr="005C5555">
              <w:t xml:space="preserve"> weight manufactured homes are not designed for withstanding floods and are more vulnerable to flood damage. </w:t>
            </w:r>
          </w:p>
          <w:p w14:paraId="5A462263" w14:textId="77777777" w:rsidR="00924E4C" w:rsidRPr="005C5555" w:rsidRDefault="00924E4C" w:rsidP="009703AB">
            <w:r w:rsidRPr="005C5555">
              <w:t xml:space="preserve">Communities with a higher prevalence of manufactured homes often encounter more obstacles in achieving resilience, as these structures typically do not offer the same level of security as traditionally constructed homes. </w:t>
            </w:r>
          </w:p>
          <w:p w14:paraId="4FA212CB" w14:textId="77777777" w:rsidR="00924E4C" w:rsidRPr="005C5555" w:rsidRDefault="00924E4C" w:rsidP="009703AB">
            <w:r w:rsidRPr="005C5555">
              <w:t>Moreover, these homes are often situated in regions beyond the urban core, where access to major roadways and public transit systems may be less available.</w:t>
            </w:r>
          </w:p>
        </w:tc>
        <w:tc>
          <w:tcPr>
            <w:tcW w:w="1082" w:type="dxa"/>
            <w:shd w:val="clear" w:color="auto" w:fill="auto"/>
            <w:tcMar>
              <w:top w:w="43" w:type="dxa"/>
              <w:left w:w="85" w:type="dxa"/>
              <w:bottom w:w="43" w:type="dxa"/>
              <w:right w:w="85" w:type="dxa"/>
            </w:tcMar>
            <w:hideMark/>
          </w:tcPr>
          <w:p w14:paraId="17B7E5FE" w14:textId="77777777" w:rsidR="00924E4C" w:rsidRPr="005C5555" w:rsidRDefault="00924E4C" w:rsidP="009703AB">
            <w:r w:rsidRPr="005C5555">
              <w:t>Census 2021 ACS 5-Year Estimates</w:t>
            </w:r>
          </w:p>
        </w:tc>
      </w:tr>
    </w:tbl>
    <w:p w14:paraId="412E6A45" w14:textId="5A429839" w:rsidR="00002914" w:rsidRDefault="00002914"/>
    <w:p w14:paraId="39C9DE6D" w14:textId="1842DB61" w:rsidR="00002914" w:rsidRDefault="00002914" w:rsidP="00002914">
      <w:pPr>
        <w:pStyle w:val="Heading1"/>
      </w:pPr>
      <w:r>
        <w:lastRenderedPageBreak/>
        <w:t xml:space="preserve">APPENDIX </w:t>
      </w:r>
      <w:r>
        <w:t>B</w:t>
      </w:r>
      <w:r>
        <w:t xml:space="preserve">: </w:t>
      </w:r>
      <w:r w:rsidR="00E12E0E">
        <w:t>Supplemental Risk Assessment Factors</w:t>
      </w:r>
    </w:p>
    <w:p w14:paraId="1066E15A" w14:textId="77777777" w:rsidR="00002914" w:rsidRDefault="00002914" w:rsidP="00002914"/>
    <w:tbl>
      <w:tblPr>
        <w:tblStyle w:val="TableGrid"/>
        <w:tblW w:w="9738" w:type="dxa"/>
        <w:tblLook w:val="04A0" w:firstRow="1" w:lastRow="0" w:firstColumn="1" w:lastColumn="0" w:noHBand="0" w:noVBand="1"/>
      </w:tblPr>
      <w:tblGrid>
        <w:gridCol w:w="4945"/>
        <w:gridCol w:w="4793"/>
      </w:tblGrid>
      <w:tr w:rsidR="00E12E0E" w:rsidRPr="00340C36" w14:paraId="0C95A87B" w14:textId="77777777" w:rsidTr="009703AB">
        <w:tc>
          <w:tcPr>
            <w:tcW w:w="9738" w:type="dxa"/>
            <w:gridSpan w:val="2"/>
            <w:shd w:val="clear" w:color="auto" w:fill="F2F2F2" w:themeFill="background1" w:themeFillShade="F2"/>
          </w:tcPr>
          <w:p w14:paraId="2A795A9B" w14:textId="1A0BF9D2" w:rsidR="00E12E0E" w:rsidRPr="00340C36" w:rsidRDefault="00222A6F" w:rsidP="009703AB">
            <w:pPr>
              <w:rPr>
                <w:rFonts w:cs="Calibri"/>
              </w:rPr>
            </w:pPr>
            <w:r w:rsidRPr="00222A6F">
              <w:rPr>
                <w:rStyle w:val="Heading2Char"/>
              </w:rPr>
              <w:t>Renter-Occupied Ho</w:t>
            </w:r>
            <w:r>
              <w:rPr>
                <w:rStyle w:val="Heading2Char"/>
              </w:rPr>
              <w:t>using</w:t>
            </w:r>
            <w:r w:rsidRPr="00222A6F">
              <w:rPr>
                <w:rStyle w:val="Heading2Char"/>
              </w:rPr>
              <w:t xml:space="preserve"> </w:t>
            </w:r>
            <w:r w:rsidR="00E12E0E" w:rsidRPr="00C14218">
              <w:rPr>
                <w:rStyle w:val="Heading2Char"/>
              </w:rPr>
              <w:t>(%)</w:t>
            </w:r>
            <w:r w:rsidR="00E12E0E" w:rsidRPr="00C14218">
              <w:rPr>
                <w:rStyle w:val="Heading2Char"/>
              </w:rPr>
              <w:br/>
            </w:r>
            <w:r w:rsidRPr="00222A6F">
              <w:rPr>
                <w:rFonts w:cs="Calibri"/>
              </w:rPr>
              <w:t>Percentage of residential buildings occupied by renters (Tax Class = 2) among all primary residential structures (excluding temporary lodgings, institutional dormitories, and nursing homes) in the high-risk 100-year floodplain</w:t>
            </w:r>
            <w:r>
              <w:rPr>
                <w:rFonts w:cs="Calibri"/>
              </w:rPr>
              <w:t>.</w:t>
            </w:r>
          </w:p>
        </w:tc>
      </w:tr>
      <w:tr w:rsidR="00E12E0E" w:rsidRPr="00340C36" w14:paraId="172DBA0D" w14:textId="77777777" w:rsidTr="009703AB">
        <w:tc>
          <w:tcPr>
            <w:tcW w:w="4945" w:type="dxa"/>
          </w:tcPr>
          <w:p w14:paraId="646D24B0" w14:textId="77777777" w:rsidR="00E12E0E" w:rsidRPr="00340C36" w:rsidRDefault="00E12E0E" w:rsidP="009703AB">
            <w:pPr>
              <w:jc w:val="center"/>
              <w:rPr>
                <w:rFonts w:cs="Calibri"/>
                <w:b/>
                <w:bCs/>
              </w:rPr>
            </w:pPr>
            <w:r w:rsidRPr="00340C36">
              <w:rPr>
                <w:rFonts w:cs="Calibri"/>
                <w:b/>
                <w:bCs/>
              </w:rPr>
              <w:t>Rationale</w:t>
            </w:r>
          </w:p>
        </w:tc>
        <w:tc>
          <w:tcPr>
            <w:tcW w:w="4793" w:type="dxa"/>
          </w:tcPr>
          <w:p w14:paraId="4A256202"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3AE1F5F1" w14:textId="77777777" w:rsidTr="009703AB">
        <w:tc>
          <w:tcPr>
            <w:tcW w:w="4945" w:type="dxa"/>
          </w:tcPr>
          <w:p w14:paraId="3EE5B909" w14:textId="409584DA" w:rsidR="00E12E0E" w:rsidRDefault="00222A6F" w:rsidP="009703AB">
            <w:pPr>
              <w:rPr>
                <w:rFonts w:eastAsia="Times New Roman" w:cs="Calibri"/>
                <w:color w:val="000000"/>
              </w:rPr>
            </w:pPr>
            <w:r w:rsidRPr="00222A6F">
              <w:rPr>
                <w:rFonts w:eastAsia="Times New Roman" w:cs="Calibri"/>
                <w:color w:val="000000"/>
              </w:rPr>
              <w:t>Communities with a higher ratio of owner-occupied residences tend to have residents who are more invested in the long-term health and resilience of the community. In contrast, the renters may have less long-term commitment to the community. Also, renters are more likely to not have flood insurance and be at higher risk.</w:t>
            </w:r>
          </w:p>
          <w:p w14:paraId="0C435CEB" w14:textId="77777777" w:rsidR="000A09EF" w:rsidRDefault="000A09EF" w:rsidP="009703AB">
            <w:pPr>
              <w:rPr>
                <w:rFonts w:eastAsia="Times New Roman" w:cs="Calibri"/>
                <w:color w:val="000000"/>
              </w:rPr>
            </w:pPr>
          </w:p>
          <w:p w14:paraId="04EEFA63" w14:textId="493F8024" w:rsidR="000A09EF" w:rsidRPr="00340C36" w:rsidRDefault="000A09EF" w:rsidP="009703AB">
            <w:pPr>
              <w:rPr>
                <w:rFonts w:cs="Calibri"/>
              </w:rPr>
            </w:pPr>
          </w:p>
        </w:tc>
        <w:tc>
          <w:tcPr>
            <w:tcW w:w="4793" w:type="dxa"/>
          </w:tcPr>
          <w:p w14:paraId="22D1E055" w14:textId="77777777" w:rsidR="00E12E0E" w:rsidRDefault="00222A6F" w:rsidP="009703AB">
            <w:pPr>
              <w:rPr>
                <w:rFonts w:cs="Calibri"/>
              </w:rPr>
            </w:pPr>
            <w:r w:rsidRPr="00222A6F">
              <w:rPr>
                <w:rFonts w:cs="Calibri"/>
              </w:rPr>
              <w:t>With flood insurance, property owners can recover faster and more fully.  Through the National Flood Insurance Program (NFIP), renters can purchase a policy that protects their personal property from flood damage. It's important to tell clients that while flood insurance for renters won't cover the building itself—that's the responsibility of the property owner—it will cover personal items inside the rental unit, such as furniture, appliances and clothing.  Source:</w:t>
            </w:r>
            <w:r>
              <w:rPr>
                <w:rFonts w:cs="Calibri"/>
              </w:rPr>
              <w:t xml:space="preserve">  FEMA’s </w:t>
            </w:r>
            <w:hyperlink r:id="rId71" w:history="1">
              <w:r w:rsidRPr="00222A6F">
                <w:rPr>
                  <w:rStyle w:val="Hyperlink"/>
                  <w:rFonts w:cs="Calibri"/>
                </w:rPr>
                <w:t>Floodsmart.gov</w:t>
              </w:r>
            </w:hyperlink>
            <w:r>
              <w:rPr>
                <w:rFonts w:cs="Calibri"/>
              </w:rPr>
              <w:t>.</w:t>
            </w:r>
          </w:p>
          <w:p w14:paraId="6DFDC0FF" w14:textId="449816B0" w:rsidR="00222A6F" w:rsidRPr="00340C36" w:rsidRDefault="00222A6F" w:rsidP="009703AB">
            <w:pPr>
              <w:rPr>
                <w:rFonts w:cs="Calibri"/>
              </w:rPr>
            </w:pPr>
          </w:p>
        </w:tc>
      </w:tr>
      <w:tr w:rsidR="00E12E0E" w:rsidRPr="00340C36" w14:paraId="169AFFDE" w14:textId="77777777" w:rsidTr="009703AB">
        <w:tc>
          <w:tcPr>
            <w:tcW w:w="9738" w:type="dxa"/>
            <w:gridSpan w:val="2"/>
            <w:shd w:val="clear" w:color="auto" w:fill="F2F2F2" w:themeFill="background1" w:themeFillShade="F2"/>
          </w:tcPr>
          <w:p w14:paraId="09A4E968" w14:textId="1A98EDA9" w:rsidR="00E12E0E" w:rsidRPr="00340C36" w:rsidRDefault="00E12E0E" w:rsidP="009703AB">
            <w:pPr>
              <w:rPr>
                <w:rFonts w:cs="Calibri"/>
                <w:b/>
                <w:bCs/>
              </w:rPr>
            </w:pPr>
            <w:r w:rsidRPr="00340C36">
              <w:rPr>
                <w:rFonts w:cs="Calibri"/>
              </w:rPr>
              <w:t xml:space="preserve">Data Sources:  </w:t>
            </w:r>
            <w:r w:rsidR="00222A6F" w:rsidRPr="00222A6F">
              <w:rPr>
                <w:rFonts w:cs="Calibri"/>
              </w:rPr>
              <w:t>Last updated BLRA (based on tax classes in assessment data); FEMA Flood Insurance Rate Map (FIRM)</w:t>
            </w:r>
            <w:r w:rsidR="00222A6F">
              <w:rPr>
                <w:rFonts w:cs="Calibri"/>
              </w:rPr>
              <w:t>.</w:t>
            </w:r>
          </w:p>
        </w:tc>
      </w:tr>
    </w:tbl>
    <w:p w14:paraId="5356AD42" w14:textId="77777777" w:rsidR="00E12E0E" w:rsidRDefault="00E12E0E" w:rsidP="00E12E0E">
      <w:pPr>
        <w:spacing w:line="240" w:lineRule="auto"/>
      </w:pPr>
    </w:p>
    <w:tbl>
      <w:tblPr>
        <w:tblStyle w:val="TableGrid"/>
        <w:tblW w:w="9738" w:type="dxa"/>
        <w:tblLook w:val="04A0" w:firstRow="1" w:lastRow="0" w:firstColumn="1" w:lastColumn="0" w:noHBand="0" w:noVBand="1"/>
      </w:tblPr>
      <w:tblGrid>
        <w:gridCol w:w="4945"/>
        <w:gridCol w:w="4793"/>
      </w:tblGrid>
      <w:tr w:rsidR="00E12E0E" w:rsidRPr="00340C36" w14:paraId="50CB128A" w14:textId="77777777" w:rsidTr="009703AB">
        <w:tc>
          <w:tcPr>
            <w:tcW w:w="9738" w:type="dxa"/>
            <w:gridSpan w:val="2"/>
            <w:shd w:val="clear" w:color="auto" w:fill="F2F2F2" w:themeFill="background1" w:themeFillShade="F2"/>
          </w:tcPr>
          <w:p w14:paraId="3F418D00" w14:textId="09BC05DD" w:rsidR="00E12E0E" w:rsidRPr="00340C36" w:rsidRDefault="00011FCF" w:rsidP="00065AD3">
            <w:pPr>
              <w:rPr>
                <w:rFonts w:cs="Calibri"/>
              </w:rPr>
            </w:pPr>
            <w:r>
              <w:rPr>
                <w:rStyle w:val="Heading2Char"/>
              </w:rPr>
              <w:t>Percentage</w:t>
            </w:r>
            <w:r w:rsidR="00E12E0E" w:rsidRPr="00C14218">
              <w:rPr>
                <w:rStyle w:val="Heading2Char"/>
              </w:rPr>
              <w:t xml:space="preserve"> (%)</w:t>
            </w:r>
            <w:r>
              <w:rPr>
                <w:rStyle w:val="Heading2Char"/>
              </w:rPr>
              <w:t xml:space="preserve"> of </w:t>
            </w:r>
            <w:r w:rsidR="008479C2">
              <w:rPr>
                <w:rStyle w:val="Heading2Char"/>
              </w:rPr>
              <w:t xml:space="preserve">All </w:t>
            </w:r>
            <w:r>
              <w:rPr>
                <w:rStyle w:val="Heading2Char"/>
              </w:rPr>
              <w:t>Residential Properties</w:t>
            </w:r>
            <w:r w:rsidR="00E12E0E" w:rsidRPr="00340C36">
              <w:rPr>
                <w:rFonts w:cs="Calibri"/>
                <w:b/>
              </w:rPr>
              <w:br/>
            </w:r>
            <w:r w:rsidR="00065AD3" w:rsidRPr="008479C2">
              <w:rPr>
                <w:rFonts w:eastAsia="Times New Roman" w:cs="Calibri"/>
                <w:color w:val="000000"/>
              </w:rPr>
              <w:t>Percentage of all residential primary buildings (</w:t>
            </w:r>
            <w:r w:rsidR="00065AD3">
              <w:rPr>
                <w:rFonts w:eastAsia="Times New Roman" w:cs="Calibri"/>
                <w:color w:val="000000"/>
              </w:rPr>
              <w:t>including</w:t>
            </w:r>
            <w:r w:rsidR="00065AD3" w:rsidRPr="008479C2">
              <w:rPr>
                <w:rFonts w:eastAsia="Times New Roman" w:cs="Calibri"/>
                <w:color w:val="000000"/>
              </w:rPr>
              <w:t xml:space="preserve"> temporary lodgings, institutional dormitories, and nursing homes) among all primary buildings in the high-risk 100-year floodplain.</w:t>
            </w:r>
          </w:p>
        </w:tc>
      </w:tr>
      <w:tr w:rsidR="00E12E0E" w:rsidRPr="00340C36" w14:paraId="1EE050FE" w14:textId="77777777" w:rsidTr="009703AB">
        <w:tc>
          <w:tcPr>
            <w:tcW w:w="4945" w:type="dxa"/>
          </w:tcPr>
          <w:p w14:paraId="1993144C" w14:textId="77777777" w:rsidR="00E12E0E" w:rsidRPr="00340C36" w:rsidRDefault="00E12E0E" w:rsidP="009703AB">
            <w:pPr>
              <w:jc w:val="center"/>
              <w:rPr>
                <w:rFonts w:cs="Calibri"/>
                <w:b/>
                <w:bCs/>
              </w:rPr>
            </w:pPr>
            <w:r w:rsidRPr="00340C36">
              <w:rPr>
                <w:rFonts w:cs="Calibri"/>
                <w:b/>
                <w:bCs/>
              </w:rPr>
              <w:t>Rationale</w:t>
            </w:r>
          </w:p>
        </w:tc>
        <w:tc>
          <w:tcPr>
            <w:tcW w:w="4793" w:type="dxa"/>
          </w:tcPr>
          <w:p w14:paraId="3A7E6B1F"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49F26E73" w14:textId="77777777" w:rsidTr="009703AB">
        <w:tc>
          <w:tcPr>
            <w:tcW w:w="4945" w:type="dxa"/>
          </w:tcPr>
          <w:p w14:paraId="67EFB013" w14:textId="0471F35C" w:rsidR="008479C2" w:rsidRDefault="008479C2" w:rsidP="009703AB">
            <w:pPr>
              <w:rPr>
                <w:rFonts w:cs="Calibri"/>
              </w:rPr>
            </w:pPr>
            <w:r>
              <w:rPr>
                <w:rFonts w:cs="Calibri"/>
              </w:rPr>
              <w:t>The</w:t>
            </w:r>
            <w:r w:rsidR="00065AD3">
              <w:rPr>
                <w:rFonts w:cs="Calibri"/>
              </w:rPr>
              <w:t xml:space="preserve"> building</w:t>
            </w:r>
            <w:r>
              <w:rPr>
                <w:rFonts w:cs="Calibri"/>
              </w:rPr>
              <w:t xml:space="preserve"> occupancy class (</w:t>
            </w:r>
            <w:r w:rsidR="00AB149F">
              <w:rPr>
                <w:rFonts w:cs="Calibri"/>
              </w:rPr>
              <w:t xml:space="preserve">e.g., </w:t>
            </w:r>
            <w:r>
              <w:rPr>
                <w:rFonts w:cs="Calibri"/>
              </w:rPr>
              <w:t xml:space="preserve">Residential versus Non-Residential) often defines the type of </w:t>
            </w:r>
            <w:r w:rsidR="0017157F">
              <w:rPr>
                <w:rFonts w:cs="Calibri"/>
              </w:rPr>
              <w:t xml:space="preserve">insurance coverage, </w:t>
            </w:r>
            <w:r w:rsidR="00065AD3">
              <w:rPr>
                <w:rFonts w:cs="Calibri"/>
              </w:rPr>
              <w:t xml:space="preserve">emergency response, </w:t>
            </w:r>
            <w:r>
              <w:rPr>
                <w:rFonts w:cs="Calibri"/>
              </w:rPr>
              <w:t xml:space="preserve">substantial damage assessment, </w:t>
            </w:r>
            <w:r w:rsidR="00065AD3">
              <w:rPr>
                <w:rFonts w:cs="Calibri"/>
              </w:rPr>
              <w:t xml:space="preserve">and </w:t>
            </w:r>
            <w:r>
              <w:rPr>
                <w:rFonts w:cs="Calibri"/>
              </w:rPr>
              <w:t>mitigation action</w:t>
            </w:r>
            <w:r w:rsidR="00065AD3">
              <w:rPr>
                <w:rFonts w:cs="Calibri"/>
              </w:rPr>
              <w:t>s</w:t>
            </w:r>
            <w:r>
              <w:rPr>
                <w:rFonts w:cs="Calibri"/>
              </w:rPr>
              <w:t xml:space="preserve"> such as elevating structures. </w:t>
            </w:r>
          </w:p>
          <w:p w14:paraId="1E8FD3C0" w14:textId="028914AC" w:rsidR="00AB149F" w:rsidRPr="00340C36" w:rsidRDefault="00AB149F" w:rsidP="0017157F">
            <w:pPr>
              <w:rPr>
                <w:rFonts w:cs="Calibri"/>
              </w:rPr>
            </w:pPr>
          </w:p>
        </w:tc>
        <w:tc>
          <w:tcPr>
            <w:tcW w:w="4793" w:type="dxa"/>
          </w:tcPr>
          <w:p w14:paraId="09DFD97C" w14:textId="77777777" w:rsidR="0017157F" w:rsidRDefault="008479C2" w:rsidP="009703AB">
            <w:pPr>
              <w:rPr>
                <w:rFonts w:cs="Calibri"/>
              </w:rPr>
            </w:pPr>
            <w:r w:rsidRPr="008479C2">
              <w:rPr>
                <w:rFonts w:cs="Calibri"/>
              </w:rPr>
              <w:t>More exposed residential properties may require more robust emergency response measures, including evacuation plans, resource allocation, and coordination with businesses and organizations.</w:t>
            </w:r>
            <w:r w:rsidR="0017157F">
              <w:rPr>
                <w:rFonts w:cs="Calibri"/>
              </w:rPr>
              <w:t xml:space="preserve">  </w:t>
            </w:r>
          </w:p>
          <w:p w14:paraId="05E506B1" w14:textId="77777777" w:rsidR="0017157F" w:rsidRDefault="0017157F" w:rsidP="009703AB">
            <w:pPr>
              <w:rPr>
                <w:rFonts w:cs="Calibri"/>
              </w:rPr>
            </w:pPr>
          </w:p>
          <w:p w14:paraId="53AA5E59" w14:textId="610FCFE7" w:rsidR="00E12E0E" w:rsidRPr="00340C36" w:rsidRDefault="0017157F" w:rsidP="009703AB">
            <w:pPr>
              <w:rPr>
                <w:rFonts w:cs="Calibri"/>
              </w:rPr>
            </w:pPr>
            <w:r>
              <w:rPr>
                <w:rFonts w:cs="Calibri"/>
              </w:rPr>
              <w:t>Local community officials and emergency responders should be familiar with the building occupancy classes of their community.</w:t>
            </w:r>
          </w:p>
        </w:tc>
      </w:tr>
      <w:tr w:rsidR="00E12E0E" w:rsidRPr="00340C36" w14:paraId="06AAB600" w14:textId="77777777" w:rsidTr="009703AB">
        <w:tc>
          <w:tcPr>
            <w:tcW w:w="9738" w:type="dxa"/>
            <w:gridSpan w:val="2"/>
            <w:shd w:val="clear" w:color="auto" w:fill="F2F2F2" w:themeFill="background1" w:themeFillShade="F2"/>
          </w:tcPr>
          <w:p w14:paraId="5739085C" w14:textId="75F32307" w:rsidR="0017157F" w:rsidRDefault="0017157F" w:rsidP="0017157F">
            <w:pPr>
              <w:rPr>
                <w:rFonts w:cs="Calibri"/>
              </w:rPr>
            </w:pPr>
            <w:r w:rsidRPr="0017157F">
              <w:rPr>
                <w:rFonts w:cs="Calibri"/>
              </w:rPr>
              <w:t>Note:</w:t>
            </w:r>
            <w:r>
              <w:rPr>
                <w:rFonts w:cs="Calibri"/>
              </w:rPr>
              <w:t xml:space="preserve"> </w:t>
            </w:r>
            <w:r w:rsidRPr="0017157F">
              <w:rPr>
                <w:rFonts w:cs="Calibri"/>
              </w:rPr>
              <w:t xml:space="preserve"> </w:t>
            </w:r>
            <w:r w:rsidRPr="0017157F">
              <w:rPr>
                <w:rFonts w:cs="Calibri"/>
              </w:rPr>
              <w:t>Building</w:t>
            </w:r>
            <w:r>
              <w:rPr>
                <w:rFonts w:cs="Calibri"/>
              </w:rPr>
              <w:t xml:space="preserve"> occupancy classes are derived by converting tax assessment land use codes to FEMA’s 33 Hazus Building Specific Occupancy Classes.  These specific classes can be further generalized into fewer classes like residential, commercial, industrial, agriculture, religion/non-profit, government, and education.  See more on </w:t>
            </w:r>
            <w:hyperlink r:id="rId72" w:history="1">
              <w:r w:rsidRPr="00AB149F">
                <w:rPr>
                  <w:rStyle w:val="Hyperlink"/>
                  <w:rFonts w:cs="Calibri"/>
                </w:rPr>
                <w:t>Occupancy Class Types</w:t>
              </w:r>
            </w:hyperlink>
            <w:r>
              <w:rPr>
                <w:rFonts w:cs="Calibri"/>
              </w:rPr>
              <w:t>.</w:t>
            </w:r>
          </w:p>
          <w:p w14:paraId="2AF846B0" w14:textId="4202869E" w:rsidR="0017157F" w:rsidRDefault="0017157F" w:rsidP="009703AB">
            <w:pPr>
              <w:rPr>
                <w:rFonts w:cs="Calibri"/>
                <w:b/>
                <w:bCs/>
              </w:rPr>
            </w:pPr>
          </w:p>
          <w:p w14:paraId="7483FDC0" w14:textId="415EAC64" w:rsidR="0017157F" w:rsidRPr="00340C36" w:rsidRDefault="0017157F" w:rsidP="0017157F">
            <w:pPr>
              <w:rPr>
                <w:rFonts w:cs="Calibri"/>
                <w:b/>
                <w:bCs/>
              </w:rPr>
            </w:pPr>
            <w:r>
              <w:rPr>
                <w:rFonts w:cs="Calibri"/>
              </w:rPr>
              <w:t xml:space="preserve">Data Sources:  </w:t>
            </w:r>
            <w:r w:rsidRPr="00011FCF">
              <w:rPr>
                <w:rFonts w:cs="Calibri"/>
              </w:rPr>
              <w:t>Last updated BLRA (based on occupancy classes from tax assessment data); FEMA Flood Insurance Rate Map (FIRM)</w:t>
            </w:r>
            <w:r>
              <w:rPr>
                <w:rFonts w:cs="Calibri"/>
              </w:rPr>
              <w:t>.</w:t>
            </w:r>
          </w:p>
        </w:tc>
      </w:tr>
    </w:tbl>
    <w:p w14:paraId="47D69727" w14:textId="77777777" w:rsidR="00002914" w:rsidRDefault="00002914">
      <w:r>
        <w:br w:type="page"/>
      </w:r>
    </w:p>
    <w:tbl>
      <w:tblPr>
        <w:tblStyle w:val="TableGrid"/>
        <w:tblW w:w="9738" w:type="dxa"/>
        <w:tblLook w:val="04A0" w:firstRow="1" w:lastRow="0" w:firstColumn="1" w:lastColumn="0" w:noHBand="0" w:noVBand="1"/>
      </w:tblPr>
      <w:tblGrid>
        <w:gridCol w:w="4945"/>
        <w:gridCol w:w="4793"/>
      </w:tblGrid>
      <w:tr w:rsidR="008479C2" w:rsidRPr="00340C36" w14:paraId="7047191C" w14:textId="77777777" w:rsidTr="009703AB">
        <w:tc>
          <w:tcPr>
            <w:tcW w:w="9738" w:type="dxa"/>
            <w:gridSpan w:val="2"/>
            <w:shd w:val="clear" w:color="auto" w:fill="F2F2F2" w:themeFill="background1" w:themeFillShade="F2"/>
          </w:tcPr>
          <w:p w14:paraId="6A3E3A15" w14:textId="1B97D036" w:rsidR="008479C2" w:rsidRPr="00340C36" w:rsidRDefault="008479C2" w:rsidP="009703AB">
            <w:pPr>
              <w:rPr>
                <w:rFonts w:cs="Calibri"/>
              </w:rPr>
            </w:pPr>
            <w:r>
              <w:rPr>
                <w:rStyle w:val="Heading2Char"/>
              </w:rPr>
              <w:lastRenderedPageBreak/>
              <w:t>Total Building Value ($)</w:t>
            </w:r>
            <w:r w:rsidRPr="00340C36">
              <w:rPr>
                <w:rFonts w:cs="Calibri"/>
                <w:b/>
              </w:rPr>
              <w:br/>
            </w:r>
            <w:r>
              <w:rPr>
                <w:rFonts w:cs="Calibri"/>
              </w:rPr>
              <w:t>Total building value exposed in the high-risk floodplains, subcategorized by occupancy classes.</w:t>
            </w:r>
          </w:p>
        </w:tc>
      </w:tr>
      <w:tr w:rsidR="008479C2" w:rsidRPr="00340C36" w14:paraId="638647B3" w14:textId="77777777" w:rsidTr="009703AB">
        <w:tc>
          <w:tcPr>
            <w:tcW w:w="4945" w:type="dxa"/>
          </w:tcPr>
          <w:p w14:paraId="729B2D12" w14:textId="77777777" w:rsidR="008479C2" w:rsidRPr="00340C36" w:rsidRDefault="008479C2" w:rsidP="009703AB">
            <w:pPr>
              <w:jc w:val="center"/>
              <w:rPr>
                <w:rFonts w:cs="Calibri"/>
                <w:b/>
                <w:bCs/>
              </w:rPr>
            </w:pPr>
            <w:r w:rsidRPr="00340C36">
              <w:rPr>
                <w:rFonts w:cs="Calibri"/>
                <w:b/>
                <w:bCs/>
              </w:rPr>
              <w:t>Rationale</w:t>
            </w:r>
          </w:p>
        </w:tc>
        <w:tc>
          <w:tcPr>
            <w:tcW w:w="4793" w:type="dxa"/>
          </w:tcPr>
          <w:p w14:paraId="461D0CF1" w14:textId="77777777" w:rsidR="008479C2" w:rsidRPr="00340C36" w:rsidRDefault="008479C2" w:rsidP="009703AB">
            <w:pPr>
              <w:jc w:val="center"/>
              <w:rPr>
                <w:rFonts w:cs="Calibri"/>
                <w:b/>
                <w:bCs/>
              </w:rPr>
            </w:pPr>
            <w:r w:rsidRPr="00340C36">
              <w:rPr>
                <w:rFonts w:cs="Calibri"/>
                <w:b/>
                <w:bCs/>
              </w:rPr>
              <w:t>Recommendations</w:t>
            </w:r>
          </w:p>
        </w:tc>
      </w:tr>
      <w:tr w:rsidR="008479C2" w:rsidRPr="00340C36" w14:paraId="199BD32E" w14:textId="77777777" w:rsidTr="009703AB">
        <w:tc>
          <w:tcPr>
            <w:tcW w:w="4945" w:type="dxa"/>
          </w:tcPr>
          <w:p w14:paraId="3179892D" w14:textId="6D778C70" w:rsidR="008479C2" w:rsidRPr="00340C36" w:rsidRDefault="008479C2" w:rsidP="009703AB">
            <w:pPr>
              <w:rPr>
                <w:rFonts w:cs="Calibri"/>
              </w:rPr>
            </w:pPr>
          </w:p>
        </w:tc>
        <w:tc>
          <w:tcPr>
            <w:tcW w:w="4793" w:type="dxa"/>
          </w:tcPr>
          <w:p w14:paraId="610861C6" w14:textId="1E5393E2" w:rsidR="008479C2" w:rsidRPr="00340C36" w:rsidRDefault="008479C2" w:rsidP="009703AB">
            <w:pPr>
              <w:rPr>
                <w:rFonts w:cs="Calibri"/>
              </w:rPr>
            </w:pPr>
          </w:p>
        </w:tc>
      </w:tr>
      <w:tr w:rsidR="008479C2" w:rsidRPr="00340C36" w14:paraId="7023809A" w14:textId="77777777" w:rsidTr="009703AB">
        <w:tc>
          <w:tcPr>
            <w:tcW w:w="9738" w:type="dxa"/>
            <w:gridSpan w:val="2"/>
            <w:shd w:val="clear" w:color="auto" w:fill="F2F2F2" w:themeFill="background1" w:themeFillShade="F2"/>
          </w:tcPr>
          <w:p w14:paraId="0A0154EB" w14:textId="77777777" w:rsidR="008479C2" w:rsidRPr="00340C36" w:rsidRDefault="008479C2" w:rsidP="009703AB">
            <w:pPr>
              <w:rPr>
                <w:rFonts w:cs="Calibri"/>
                <w:b/>
                <w:bCs/>
              </w:rPr>
            </w:pPr>
            <w:r w:rsidRPr="00011FCF">
              <w:rPr>
                <w:rFonts w:cs="Calibri"/>
              </w:rPr>
              <w:t>Last updated BLRA (based on occupancy classes from tax assessment data); FEMA Flood Insurance Rate Map (FIRM)</w:t>
            </w:r>
          </w:p>
        </w:tc>
      </w:tr>
    </w:tbl>
    <w:p w14:paraId="6FD1AF65" w14:textId="77777777" w:rsidR="007F69DB" w:rsidRDefault="007F69DB"/>
    <w:sectPr w:rsidR="007F69DB" w:rsidSect="006E6381">
      <w:type w:val="continuous"/>
      <w:pgSz w:w="12240" w:h="15840"/>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2EFE" w14:textId="77777777" w:rsidR="00067847" w:rsidRDefault="00067847" w:rsidP="00340C36">
      <w:pPr>
        <w:spacing w:after="0" w:line="240" w:lineRule="auto"/>
      </w:pPr>
      <w:r>
        <w:separator/>
      </w:r>
    </w:p>
  </w:endnote>
  <w:endnote w:type="continuationSeparator" w:id="0">
    <w:p w14:paraId="3FCA71A3" w14:textId="77777777" w:rsidR="00067847" w:rsidRDefault="00067847"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753" w14:textId="77777777" w:rsidR="00067847" w:rsidRDefault="00067847" w:rsidP="00340C36">
      <w:pPr>
        <w:spacing w:after="0" w:line="240" w:lineRule="auto"/>
      </w:pPr>
      <w:r>
        <w:separator/>
      </w:r>
    </w:p>
  </w:footnote>
  <w:footnote w:type="continuationSeparator" w:id="0">
    <w:p w14:paraId="1BEAEC86" w14:textId="77777777" w:rsidR="00067847" w:rsidRDefault="00067847"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04BF5"/>
    <w:multiLevelType w:val="hybridMultilevel"/>
    <w:tmpl w:val="5120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6"/>
  </w:num>
  <w:num w:numId="2" w16cid:durableId="1857037683">
    <w:abstractNumId w:val="5"/>
  </w:num>
  <w:num w:numId="3" w16cid:durableId="45645649">
    <w:abstractNumId w:val="8"/>
  </w:num>
  <w:num w:numId="4" w16cid:durableId="583028719">
    <w:abstractNumId w:val="1"/>
  </w:num>
  <w:num w:numId="5" w16cid:durableId="210502806">
    <w:abstractNumId w:val="0"/>
  </w:num>
  <w:num w:numId="6" w16cid:durableId="507643865">
    <w:abstractNumId w:val="4"/>
  </w:num>
  <w:num w:numId="7" w16cid:durableId="958150518">
    <w:abstractNumId w:val="3"/>
  </w:num>
  <w:num w:numId="8" w16cid:durableId="1330281785">
    <w:abstractNumId w:val="9"/>
  </w:num>
  <w:num w:numId="9" w16cid:durableId="829519002">
    <w:abstractNumId w:val="2"/>
  </w:num>
  <w:num w:numId="10" w16cid:durableId="216741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02914"/>
    <w:rsid w:val="00011FCF"/>
    <w:rsid w:val="000120DF"/>
    <w:rsid w:val="000262CB"/>
    <w:rsid w:val="00042F7F"/>
    <w:rsid w:val="00045AFA"/>
    <w:rsid w:val="00046ABB"/>
    <w:rsid w:val="000531FD"/>
    <w:rsid w:val="00054325"/>
    <w:rsid w:val="00054FA3"/>
    <w:rsid w:val="000563CE"/>
    <w:rsid w:val="00065AD3"/>
    <w:rsid w:val="00067847"/>
    <w:rsid w:val="000749C5"/>
    <w:rsid w:val="000772D0"/>
    <w:rsid w:val="000807A5"/>
    <w:rsid w:val="000906F1"/>
    <w:rsid w:val="00090946"/>
    <w:rsid w:val="000A03D0"/>
    <w:rsid w:val="000A09EF"/>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176FF"/>
    <w:rsid w:val="00120B95"/>
    <w:rsid w:val="00123122"/>
    <w:rsid w:val="00123737"/>
    <w:rsid w:val="00136865"/>
    <w:rsid w:val="0014265D"/>
    <w:rsid w:val="00165F54"/>
    <w:rsid w:val="0017157F"/>
    <w:rsid w:val="001735A2"/>
    <w:rsid w:val="00180A7F"/>
    <w:rsid w:val="001849BE"/>
    <w:rsid w:val="001936A1"/>
    <w:rsid w:val="00194FCA"/>
    <w:rsid w:val="001A5FC3"/>
    <w:rsid w:val="001B69A4"/>
    <w:rsid w:val="001C1BC1"/>
    <w:rsid w:val="001C2151"/>
    <w:rsid w:val="001D62C8"/>
    <w:rsid w:val="001D6AEF"/>
    <w:rsid w:val="001E6AFA"/>
    <w:rsid w:val="001F45EB"/>
    <w:rsid w:val="001F4847"/>
    <w:rsid w:val="001F711D"/>
    <w:rsid w:val="001F746A"/>
    <w:rsid w:val="00201EF7"/>
    <w:rsid w:val="00202362"/>
    <w:rsid w:val="002028EE"/>
    <w:rsid w:val="00202C23"/>
    <w:rsid w:val="00213D58"/>
    <w:rsid w:val="0022003F"/>
    <w:rsid w:val="00222A6F"/>
    <w:rsid w:val="00226A35"/>
    <w:rsid w:val="00227C7C"/>
    <w:rsid w:val="00237532"/>
    <w:rsid w:val="00241648"/>
    <w:rsid w:val="00245B87"/>
    <w:rsid w:val="00247C35"/>
    <w:rsid w:val="00254D1E"/>
    <w:rsid w:val="00255C9E"/>
    <w:rsid w:val="00257ED6"/>
    <w:rsid w:val="0028301D"/>
    <w:rsid w:val="00284F23"/>
    <w:rsid w:val="00286A8C"/>
    <w:rsid w:val="00291C52"/>
    <w:rsid w:val="002A41D0"/>
    <w:rsid w:val="002B5C2C"/>
    <w:rsid w:val="002C6B0A"/>
    <w:rsid w:val="002D0AEF"/>
    <w:rsid w:val="002D48A5"/>
    <w:rsid w:val="002D5C72"/>
    <w:rsid w:val="002F4053"/>
    <w:rsid w:val="003061EC"/>
    <w:rsid w:val="0031157B"/>
    <w:rsid w:val="0031598A"/>
    <w:rsid w:val="00340C36"/>
    <w:rsid w:val="00350703"/>
    <w:rsid w:val="00362A1E"/>
    <w:rsid w:val="00362C89"/>
    <w:rsid w:val="00365637"/>
    <w:rsid w:val="00366245"/>
    <w:rsid w:val="003675A4"/>
    <w:rsid w:val="003679AA"/>
    <w:rsid w:val="003803BF"/>
    <w:rsid w:val="00391B97"/>
    <w:rsid w:val="00392CD8"/>
    <w:rsid w:val="003953D1"/>
    <w:rsid w:val="003A1F30"/>
    <w:rsid w:val="003A3E89"/>
    <w:rsid w:val="003A464F"/>
    <w:rsid w:val="003A7E12"/>
    <w:rsid w:val="003B1595"/>
    <w:rsid w:val="003B1D55"/>
    <w:rsid w:val="003B4D27"/>
    <w:rsid w:val="003B705C"/>
    <w:rsid w:val="003B71E5"/>
    <w:rsid w:val="003C0F40"/>
    <w:rsid w:val="003D6929"/>
    <w:rsid w:val="003D6D7B"/>
    <w:rsid w:val="003E3864"/>
    <w:rsid w:val="003E3BA6"/>
    <w:rsid w:val="003F4E6F"/>
    <w:rsid w:val="003F5CE7"/>
    <w:rsid w:val="003F6566"/>
    <w:rsid w:val="004019D0"/>
    <w:rsid w:val="00401EE5"/>
    <w:rsid w:val="00403DF5"/>
    <w:rsid w:val="004064A6"/>
    <w:rsid w:val="00406C75"/>
    <w:rsid w:val="00416243"/>
    <w:rsid w:val="0041710E"/>
    <w:rsid w:val="00420F4B"/>
    <w:rsid w:val="00423E3B"/>
    <w:rsid w:val="00437F57"/>
    <w:rsid w:val="004420CE"/>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339"/>
    <w:rsid w:val="0054248F"/>
    <w:rsid w:val="00543C11"/>
    <w:rsid w:val="00546587"/>
    <w:rsid w:val="00563610"/>
    <w:rsid w:val="005838FA"/>
    <w:rsid w:val="005952A8"/>
    <w:rsid w:val="005A5424"/>
    <w:rsid w:val="005A6D83"/>
    <w:rsid w:val="005B348B"/>
    <w:rsid w:val="005F3121"/>
    <w:rsid w:val="005F5CD5"/>
    <w:rsid w:val="006036E4"/>
    <w:rsid w:val="00610025"/>
    <w:rsid w:val="00627D65"/>
    <w:rsid w:val="00630452"/>
    <w:rsid w:val="006311CF"/>
    <w:rsid w:val="00631AF6"/>
    <w:rsid w:val="00635FAD"/>
    <w:rsid w:val="00654939"/>
    <w:rsid w:val="00660854"/>
    <w:rsid w:val="00660BAC"/>
    <w:rsid w:val="00670735"/>
    <w:rsid w:val="006847F6"/>
    <w:rsid w:val="00684C75"/>
    <w:rsid w:val="00692F94"/>
    <w:rsid w:val="006961C2"/>
    <w:rsid w:val="00696EBE"/>
    <w:rsid w:val="006A267E"/>
    <w:rsid w:val="006A7D5D"/>
    <w:rsid w:val="006C1E39"/>
    <w:rsid w:val="006C32D0"/>
    <w:rsid w:val="006C7B72"/>
    <w:rsid w:val="006D4F4A"/>
    <w:rsid w:val="006E0FC1"/>
    <w:rsid w:val="006E6381"/>
    <w:rsid w:val="00702CDB"/>
    <w:rsid w:val="007062EA"/>
    <w:rsid w:val="0071200A"/>
    <w:rsid w:val="00715F56"/>
    <w:rsid w:val="007170A3"/>
    <w:rsid w:val="007328C9"/>
    <w:rsid w:val="007346F3"/>
    <w:rsid w:val="00746FE5"/>
    <w:rsid w:val="00762278"/>
    <w:rsid w:val="00764F40"/>
    <w:rsid w:val="007720EA"/>
    <w:rsid w:val="007730A8"/>
    <w:rsid w:val="00776211"/>
    <w:rsid w:val="00781D6E"/>
    <w:rsid w:val="0079066F"/>
    <w:rsid w:val="00790D69"/>
    <w:rsid w:val="00791602"/>
    <w:rsid w:val="007A08D1"/>
    <w:rsid w:val="007B423C"/>
    <w:rsid w:val="007B459C"/>
    <w:rsid w:val="007B57B3"/>
    <w:rsid w:val="007C3CD9"/>
    <w:rsid w:val="007C40B5"/>
    <w:rsid w:val="007C49F5"/>
    <w:rsid w:val="007C4CA2"/>
    <w:rsid w:val="007C7977"/>
    <w:rsid w:val="007D41C5"/>
    <w:rsid w:val="007E04A4"/>
    <w:rsid w:val="007E2270"/>
    <w:rsid w:val="007E5502"/>
    <w:rsid w:val="007E6E0E"/>
    <w:rsid w:val="007E7145"/>
    <w:rsid w:val="007F0120"/>
    <w:rsid w:val="007F12E8"/>
    <w:rsid w:val="007F6396"/>
    <w:rsid w:val="007F69DB"/>
    <w:rsid w:val="0080249C"/>
    <w:rsid w:val="00802953"/>
    <w:rsid w:val="00816317"/>
    <w:rsid w:val="00817A41"/>
    <w:rsid w:val="00834CE4"/>
    <w:rsid w:val="00834E73"/>
    <w:rsid w:val="008462EC"/>
    <w:rsid w:val="008479C2"/>
    <w:rsid w:val="00851667"/>
    <w:rsid w:val="00852B05"/>
    <w:rsid w:val="00865391"/>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E2A09"/>
    <w:rsid w:val="008E2F5F"/>
    <w:rsid w:val="008E31C8"/>
    <w:rsid w:val="008E5B6B"/>
    <w:rsid w:val="008F22BD"/>
    <w:rsid w:val="009132DF"/>
    <w:rsid w:val="00916D4E"/>
    <w:rsid w:val="009224D0"/>
    <w:rsid w:val="00924E4C"/>
    <w:rsid w:val="00930E08"/>
    <w:rsid w:val="009344E9"/>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9317E"/>
    <w:rsid w:val="00A94ED8"/>
    <w:rsid w:val="00A97D06"/>
    <w:rsid w:val="00AA044A"/>
    <w:rsid w:val="00AA0D46"/>
    <w:rsid w:val="00AB0C18"/>
    <w:rsid w:val="00AB149F"/>
    <w:rsid w:val="00AC1161"/>
    <w:rsid w:val="00AD01CC"/>
    <w:rsid w:val="00AD0345"/>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188E"/>
    <w:rsid w:val="00BD56AB"/>
    <w:rsid w:val="00BD7570"/>
    <w:rsid w:val="00BE20D0"/>
    <w:rsid w:val="00BE21CC"/>
    <w:rsid w:val="00BE50C5"/>
    <w:rsid w:val="00BF155B"/>
    <w:rsid w:val="00C14218"/>
    <w:rsid w:val="00C152EA"/>
    <w:rsid w:val="00C26F6C"/>
    <w:rsid w:val="00C4247B"/>
    <w:rsid w:val="00C42DA9"/>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8CA"/>
    <w:rsid w:val="00D367E9"/>
    <w:rsid w:val="00D53BF9"/>
    <w:rsid w:val="00D54799"/>
    <w:rsid w:val="00D62175"/>
    <w:rsid w:val="00D65FB2"/>
    <w:rsid w:val="00D7049F"/>
    <w:rsid w:val="00D92C0C"/>
    <w:rsid w:val="00D95774"/>
    <w:rsid w:val="00DC25B8"/>
    <w:rsid w:val="00DC6A9A"/>
    <w:rsid w:val="00DD41A7"/>
    <w:rsid w:val="00DD6426"/>
    <w:rsid w:val="00DD7817"/>
    <w:rsid w:val="00DE1B5E"/>
    <w:rsid w:val="00DF19E1"/>
    <w:rsid w:val="00DF2F1A"/>
    <w:rsid w:val="00E12E0E"/>
    <w:rsid w:val="00E143D0"/>
    <w:rsid w:val="00E14DCE"/>
    <w:rsid w:val="00E27143"/>
    <w:rsid w:val="00E317C4"/>
    <w:rsid w:val="00E408E7"/>
    <w:rsid w:val="00E47E2D"/>
    <w:rsid w:val="00E519E6"/>
    <w:rsid w:val="00E54ACD"/>
    <w:rsid w:val="00E575CE"/>
    <w:rsid w:val="00E63B44"/>
    <w:rsid w:val="00E665C4"/>
    <w:rsid w:val="00E708F6"/>
    <w:rsid w:val="00E71E59"/>
    <w:rsid w:val="00E803F3"/>
    <w:rsid w:val="00E9179D"/>
    <w:rsid w:val="00EA24DE"/>
    <w:rsid w:val="00EA4371"/>
    <w:rsid w:val="00EB7220"/>
    <w:rsid w:val="00EC06A8"/>
    <w:rsid w:val="00EC7651"/>
    <w:rsid w:val="00ED15ED"/>
    <w:rsid w:val="00ED298D"/>
    <w:rsid w:val="00ED7339"/>
    <w:rsid w:val="00EE00CA"/>
    <w:rsid w:val="00EE053F"/>
    <w:rsid w:val="00EE1A22"/>
    <w:rsid w:val="00EE2537"/>
    <w:rsid w:val="00EE51C5"/>
    <w:rsid w:val="00EE5E70"/>
    <w:rsid w:val="00EE732B"/>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4040"/>
    <w:rsid w:val="00FB52F3"/>
    <w:rsid w:val="00FC0292"/>
    <w:rsid w:val="00FC2172"/>
    <w:rsid w:val="00FC5002"/>
    <w:rsid w:val="00FD5CE0"/>
    <w:rsid w:val="00FE347B"/>
    <w:rsid w:val="00FE3AC7"/>
    <w:rsid w:val="00FE5BF1"/>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municode.com/sc/kershaw_county/codes/code_of_ordinances?nodeId=COOR_CH16FLDAPR_ARTVLESTPR_S16-136EFUPOUBUPE" TargetMode="External"/><Relationship Id="rId21" Type="http://schemas.openxmlformats.org/officeDocument/2006/relationships/hyperlink" Target="https://www.floodsmart.gov/first-prepare-flooding" TargetMode="External"/><Relationship Id="rId42" Type="http://schemas.openxmlformats.org/officeDocument/2006/relationships/hyperlink" Target="https://www.nps.gov/orgs/1739/upload/flood-adaptation-guidelines-2021.pdf" TargetMode="External"/><Relationship Id="rId47" Type="http://schemas.openxmlformats.org/officeDocument/2006/relationships/hyperlink" Target="https://www.mapwv.gov/shpo/" TargetMode="External"/><Relationship Id="rId63" Type="http://schemas.openxmlformats.org/officeDocument/2006/relationships/image" Target="media/image6.jpeg"/><Relationship Id="rId6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fema.gov/sites/default/files/2020-07/fema_mitsaves-factsheet_2018.pdf" TargetMode="External"/><Relationship Id="rId29" Type="http://schemas.openxmlformats.org/officeDocument/2006/relationships/hyperlink" Target="https://crsreports.congress.gov/product/pdf/IN/IN11777"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wvca.us/flood/pdf/wv_statewide_plan.pdf" TargetMode="External"/><Relationship Id="rId45" Type="http://schemas.openxmlformats.org/officeDocument/2006/relationships/hyperlink" Target="https://data.wvgis.wvu.edu/pub/RA/_resources/Historic/FEMA_bulletin_historic_structures_2008.pdf" TargetMode="External"/><Relationship Id="rId53" Type="http://schemas.openxmlformats.org/officeDocument/2006/relationships/hyperlink" Target="https://www.fema.gov/sites/default/files/documents/fema_r3_reducing-risk-in-floodplain-guide.pdf" TargetMode="External"/><Relationship Id="rId58"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66" Type="http://schemas.openxmlformats.org/officeDocument/2006/relationships/image" Target="media/image9.jpe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hazards.fema.gov/nri/" TargetMode="External"/><Relationship Id="rId19" Type="http://schemas.openxmlformats.org/officeDocument/2006/relationships/hyperlink" Target="https://usace.contentdm.oclc.org/utils/getfile/collection/p16021coll11/id/3974" TargetMode="External"/><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data.wvgis.wvu.edu/pub/RA/_resources/HMP/HMP-Historic&amp;CulturalResources_(FEMA_R3)_20200115.pdf" TargetMode="External"/><Relationship Id="rId48" Type="http://schemas.openxmlformats.org/officeDocument/2006/relationships/hyperlink" Target="http://www.wvculture.org/shpo/shpoindex.aspx" TargetMode="External"/><Relationship Id="rId56" Type="http://schemas.openxmlformats.org/officeDocument/2006/relationships/hyperlink" Target="https://www.avma.org/resources-tools/reports-statistics/us-pet-ownership-statistics" TargetMode="External"/><Relationship Id="rId64" Type="http://schemas.openxmlformats.org/officeDocument/2006/relationships/image" Target="media/image7.jpeg"/><Relationship Id="rId69" Type="http://schemas.openxmlformats.org/officeDocument/2006/relationships/image" Target="media/image11.jpeg"/><Relationship Id="rId8" Type="http://schemas.openxmlformats.org/officeDocument/2006/relationships/image" Target="media/image1.png"/><Relationship Id="rId51" Type="http://schemas.openxmlformats.org/officeDocument/2006/relationships/hyperlink" Target="https://www.fema.gov/floodplain-management/financial-help/increased-cost-compliance" TargetMode="External"/><Relationship Id="rId72" Type="http://schemas.openxmlformats.org/officeDocument/2006/relationships/hyperlink" Target="https://data.wvgis.wvu.edu/pub/RA/_resources/FRA/Occupancy_Class_Types_Reference.xls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data.wvgis.wvu.edu/pub/RA/_resources/FRA/Basement-Foundation_Types-FFH_Reference.xlsx" TargetMode="External"/><Relationship Id="rId46" Type="http://schemas.openxmlformats.org/officeDocument/2006/relationships/hyperlink" Target="https://www.mapwv.gov/flood/map/?wkid=102100&amp;x=-8965523&amp;y=4653240&amp;l=2&amp;v=2" TargetMode="External"/><Relationship Id="rId59" Type="http://schemas.openxmlformats.org/officeDocument/2006/relationships/hyperlink" Target="https://www.weather.gov/safety/flood" TargetMode="External"/><Relationship Id="rId67" Type="http://schemas.openxmlformats.org/officeDocument/2006/relationships/hyperlink" Target="https://www.jstor.org/stable/26269470?seq=2" TargetMode="External"/><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fema.gov/glossary/pre-firm-building" TargetMode="External"/><Relationship Id="rId54" Type="http://schemas.openxmlformats.org/officeDocument/2006/relationships/hyperlink" Target="https://www.fema.gov/grants/mitigation/guide/part-10/d/1" TargetMode="External"/><Relationship Id="rId62" Type="http://schemas.openxmlformats.org/officeDocument/2006/relationships/image" Target="media/image5.jpeg"/><Relationship Id="rId7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epa.gov/sites/default/files/2015-08/documents/flood_resilience_guide.pdf" TargetMode="External"/><Relationship Id="rId57" Type="http://schemas.openxmlformats.org/officeDocument/2006/relationships/hyperlink" Target="https://www.ready.gov" TargetMode="External"/><Relationship Id="rId10" Type="http://schemas.openxmlformats.org/officeDocument/2006/relationships/image" Target="media/image3.jpeg"/><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mht.maryland.gov/Documents/plan/floodpaper/2018-06-30_MD%20Flood%20Mitigation%20Guide.pdf" TargetMode="External"/><Relationship Id="rId52" Type="http://schemas.openxmlformats.org/officeDocument/2006/relationships/hyperlink" Target="https://agents.floodsmart.gov/marketing/pricing" TargetMode="External"/><Relationship Id="rId60" Type="http://schemas.openxmlformats.org/officeDocument/2006/relationships/hyperlink" Target="https://data.wvgis.wvu.edu/pub/RA/HL/RA-S/RF7_PS3_ALL-1_WV_SVI_Report_2024.pdf" TargetMode="External"/><Relationship Id="rId65" Type="http://schemas.openxmlformats.org/officeDocument/2006/relationships/image" Target="media/image8.jpe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39" Type="http://schemas.openxmlformats.org/officeDocument/2006/relationships/hyperlink" Target="https://www.wvca.us/flood/pdf/wv_statewide_plan.pdf" TargetMode="External"/><Relationship Id="rId34" Type="http://schemas.openxmlformats.org/officeDocument/2006/relationships/hyperlink" Target="https://data.wvgis.wvu.edu/pub/RA/_resources/FPM/WV_Quick_Guide_FPM_Version_2017.pdf" TargetMode="External"/><Relationship Id="rId50" Type="http://schemas.openxmlformats.org/officeDocument/2006/relationships/hyperlink" Target="https://www.fema.gov/sites/default/files/documents/fema_r3_reducing-risk-in-floodplain-guide.pdf" TargetMode="External"/><Relationship Id="rId55" Type="http://schemas.openxmlformats.org/officeDocument/2006/relationships/hyperlink" Target="https://www.fema.gov/sites/default/files/documents/fema_r3_reducing-risk-in-floodplain-guide.pdf" TargetMode="External"/><Relationship Id="rId7" Type="http://schemas.openxmlformats.org/officeDocument/2006/relationships/endnotes" Target="endnotes.xml"/><Relationship Id="rId71" Type="http://schemas.openxmlformats.org/officeDocument/2006/relationships/hyperlink" Target="https://agents.floodsmart.gov/articles/understanding-flood-insurance-r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34</Pages>
  <Words>11111</Words>
  <Characters>63890</Characters>
  <Application>Microsoft Office Word</Application>
  <DocSecurity>0</DocSecurity>
  <Lines>2777</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12</cp:revision>
  <cp:lastPrinted>2024-10-23T17:53:00Z</cp:lastPrinted>
  <dcterms:created xsi:type="dcterms:W3CDTF">2024-11-25T22:08:00Z</dcterms:created>
  <dcterms:modified xsi:type="dcterms:W3CDTF">2024-11-28T16:46:00Z</dcterms:modified>
</cp:coreProperties>
</file>