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F36CD50"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0A41952E"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AD7637">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38DB7983" w:rsidR="004515AC" w:rsidRDefault="008319F8" w:rsidP="006B0BA5">
      <w:r>
        <w:rPr>
          <w:b/>
          <w:bCs/>
        </w:rPr>
        <w:lastRenderedPageBreak/>
        <w:t xml:space="preserve">Community Assets:  </w:t>
      </w:r>
      <w:r w:rsidR="002475D8">
        <w:t xml:space="preserve">A total of </w:t>
      </w:r>
      <w:r w:rsidR="00AC3763">
        <w:t>3</w:t>
      </w:r>
      <w:r w:rsidR="003D4B51">
        <w:t>48</w:t>
      </w:r>
      <w:r w:rsidR="00AC3763">
        <w:t xml:space="preserve">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w:t>
      </w:r>
      <w:r w:rsidR="003D4B51">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004515AC" w:rsidRPr="00AD4D34">
        <w:rPr>
          <w:b/>
          <w:bCs/>
          <w:color w:val="1F3864" w:themeColor="accent1" w:themeShade="80"/>
        </w:rPr>
        <w:t>County</w:t>
      </w:r>
      <w:r w:rsidR="004515AC" w:rsidRPr="00AD4D34">
        <w:rPr>
          <w:color w:val="1F3864" w:themeColor="accent1" w:themeShade="80"/>
        </w:rPr>
        <w:t xml:space="preserve"> </w:t>
      </w:r>
      <w:r w:rsidR="002475D8">
        <w:t xml:space="preserve">has the </w:t>
      </w:r>
      <w:r w:rsidR="006212BD">
        <w:t xml:space="preserve">largest number of inventoried </w:t>
      </w:r>
      <w:r w:rsidR="00C76211">
        <w:t>community resources</w:t>
      </w:r>
      <w:r w:rsidR="002475D8">
        <w:t xml:space="preserve"> </w:t>
      </w:r>
      <w:r w:rsidR="003D4B51">
        <w:t xml:space="preserve">(n=111) </w:t>
      </w:r>
      <w:r w:rsidR="002475D8">
        <w:t xml:space="preserve">of which the majority are </w:t>
      </w:r>
      <w:r w:rsidR="002475D8" w:rsidRPr="00132422">
        <w:rPr>
          <w:i/>
        </w:rPr>
        <w:t xml:space="preserve">religious </w:t>
      </w:r>
      <w:r w:rsidR="00C76211" w:rsidRPr="00C76211">
        <w:t>buildings</w:t>
      </w:r>
      <w:r w:rsidR="003D4B51">
        <w:t xml:space="preserve"> (n=87)</w:t>
      </w:r>
      <w:r w:rsidR="00AD4D34">
        <w:t xml:space="preserve">.  Besides McDowell County ranked </w:t>
      </w:r>
      <w:r w:rsidR="00DA335C">
        <w:t>second</w:t>
      </w:r>
      <w:r w:rsidR="00191DFC">
        <w:t xml:space="preserve"> of</w:t>
      </w:r>
      <w:r w:rsidR="00AD4D34">
        <w:t xml:space="preserve"> counties</w:t>
      </w:r>
      <w:r w:rsidR="006212BD">
        <w:t xml:space="preserve"> in the statewide risk assessment</w:t>
      </w:r>
      <w:r w:rsidR="00AD4D34">
        <w:t>, both Wyoming (</w:t>
      </w:r>
      <w:r w:rsidR="00132422">
        <w:t xml:space="preserve">ranked </w:t>
      </w:r>
      <w:r w:rsidR="00DA335C">
        <w:t>4</w:t>
      </w:r>
      <w:r w:rsidR="00DA335C">
        <w:rPr>
          <w:vertAlign w:val="superscript"/>
        </w:rPr>
        <w:t>th</w:t>
      </w:r>
      <w:r w:rsidR="00AD4D34">
        <w:t>) and Raleigh (</w:t>
      </w:r>
      <w:r w:rsidR="00DA335C">
        <w:t>8</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AB115A">
        <w:t>second</w:t>
      </w:r>
      <w:r w:rsidR="00191DFC">
        <w:t xml:space="preserve">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w:t>
      </w:r>
      <w:r w:rsidR="00A92B1E">
        <w:t xml:space="preserve"> (n=</w:t>
      </w:r>
      <w:r w:rsidR="00AB115A">
        <w:t>8</w:t>
      </w:r>
      <w:r w:rsidR="00A92B1E">
        <w:t>)</w:t>
      </w:r>
      <w:r w:rsidR="00AC3763">
        <w:t>, followed by Mercer (</w:t>
      </w:r>
      <w:r w:rsidR="00AB6402">
        <w:t>4</w:t>
      </w:r>
      <w:r w:rsidR="00AB6402">
        <w:rPr>
          <w:vertAlign w:val="superscript"/>
        </w:rPr>
        <w:t>th</w:t>
      </w:r>
      <w:r w:rsidR="003835DB">
        <w:t>)</w:t>
      </w:r>
      <w:r w:rsidR="00AC3763">
        <w:t>, Wyoming</w:t>
      </w:r>
      <w:r w:rsidR="002F39A6">
        <w:t>,</w:t>
      </w:r>
      <w:r w:rsidR="00AC3763">
        <w:t xml:space="preserve"> and McDowell counties</w:t>
      </w:r>
      <w:r w:rsidR="00AB6402">
        <w:t xml:space="preserve"> </w:t>
      </w:r>
      <w:r w:rsidR="00AB6402">
        <w:t>(10</w:t>
      </w:r>
      <w:r w:rsidR="00AB6402" w:rsidRPr="00AC3763">
        <w:rPr>
          <w:vertAlign w:val="superscript"/>
        </w:rPr>
        <w:t>th</w:t>
      </w:r>
      <w:r w:rsidR="00AB6402">
        <w:t>)</w:t>
      </w:r>
      <w:r w:rsidR="00AC3763">
        <w:t>.</w:t>
      </w:r>
      <w:r w:rsidR="00AD4D34">
        <w:t xml:space="preserve">  </w:t>
      </w:r>
      <w:r w:rsidR="00AF3888">
        <w:t>The town</w:t>
      </w:r>
      <w:r w:rsidR="00132422">
        <w:t xml:space="preserve"> of </w:t>
      </w:r>
      <w:r w:rsidR="00132422" w:rsidRPr="00AF3888">
        <w:rPr>
          <w:b/>
          <w:color w:val="1F3864" w:themeColor="accent1" w:themeShade="80"/>
        </w:rPr>
        <w:t>Mullens</w:t>
      </w:r>
      <w:r w:rsidR="00AF3888">
        <w:t xml:space="preserve"> (ranked </w:t>
      </w:r>
      <w:r w:rsidR="008143BA">
        <w:t>3</w:t>
      </w:r>
      <w:r w:rsidR="008143BA">
        <w:rPr>
          <w:vertAlign w:val="superscript"/>
        </w:rPr>
        <w:t>rd</w:t>
      </w:r>
      <w:r w:rsidR="008A0DD3">
        <w:t xml:space="preserve"> </w:t>
      </w:r>
      <w:r w:rsidR="00AF3888">
        <w:t xml:space="preserve">of all incorporated areas) </w:t>
      </w:r>
      <w:r w:rsidR="008143BA">
        <w:t xml:space="preserve">has </w:t>
      </w:r>
      <w:r w:rsidR="00AF3888">
        <w:t xml:space="preserve">two </w:t>
      </w:r>
      <w:r w:rsidR="00AF3888" w:rsidRPr="0087624F">
        <w:rPr>
          <w:i/>
          <w:iCs/>
        </w:rPr>
        <w:t>utilities</w:t>
      </w:r>
      <w:r w:rsidR="00AF3888">
        <w:t xml:space="preserve">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w:t>
      </w:r>
      <w:r w:rsidR="008A2548">
        <w:t>3</w:t>
      </w:r>
      <w:r w:rsidR="008A2548">
        <w:rPr>
          <w:vertAlign w:val="superscript"/>
        </w:rPr>
        <w:t>r</w:t>
      </w:r>
      <w:r w:rsidR="00DC3A2D" w:rsidRPr="003835DB">
        <w:rPr>
          <w:vertAlign w:val="superscript"/>
        </w:rPr>
        <w:t>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w:t>
      </w:r>
      <w:r w:rsidR="008A2548">
        <w:t xml:space="preserve"> (n=19)</w:t>
      </w:r>
      <w:r w:rsidR="00AD4D34">
        <w:t>, followed by Wyoming (</w:t>
      </w:r>
      <w:r w:rsidR="008A2548">
        <w:t>5</w:t>
      </w:r>
      <w:r w:rsidR="008A2548">
        <w:rPr>
          <w:vertAlign w:val="superscript"/>
        </w:rPr>
        <w:t>th</w:t>
      </w:r>
      <w:r w:rsidR="00132422">
        <w:t>)</w:t>
      </w:r>
      <w:r w:rsidR="00AD4D34">
        <w:t>, Raleigh</w:t>
      </w:r>
      <w:r w:rsidR="00132422">
        <w:t xml:space="preserve"> (</w:t>
      </w:r>
      <w:r w:rsidR="008A2548">
        <w:t>8</w:t>
      </w:r>
      <w:r w:rsidR="00DC3A2D" w:rsidRPr="00132422">
        <w:rPr>
          <w:vertAlign w:val="superscript"/>
        </w:rPr>
        <w:t>th</w:t>
      </w:r>
      <w:r w:rsidR="00132422">
        <w:t xml:space="preserve">), and </w:t>
      </w:r>
      <w:r w:rsidR="00AD4D34">
        <w:t>Mercer</w:t>
      </w:r>
      <w:r w:rsidR="00132422">
        <w:t xml:space="preserve"> (</w:t>
      </w:r>
      <w:r w:rsidR="008A2548">
        <w:t>11</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8E7A76">
        <w:t>5</w:t>
      </w:r>
      <w:r w:rsidR="008E7A76">
        <w:rPr>
          <w:vertAlign w:val="superscript"/>
        </w:rPr>
        <w:t>th</w:t>
      </w:r>
      <w:r w:rsidR="00132422">
        <w:t xml:space="preserve"> of all incorporated areas), </w:t>
      </w:r>
      <w:r w:rsidR="00132422" w:rsidRPr="00AF3888">
        <w:rPr>
          <w:b/>
          <w:color w:val="1F3864" w:themeColor="accent1" w:themeShade="80"/>
        </w:rPr>
        <w:t>Brads</w:t>
      </w:r>
      <w:bookmarkStart w:id="0" w:name="_GoBack"/>
      <w:bookmarkEnd w:id="0"/>
      <w:r w:rsidR="00132422" w:rsidRPr="00AF3888">
        <w:rPr>
          <w:b/>
          <w:color w:val="1F3864" w:themeColor="accent1" w:themeShade="80"/>
        </w:rPr>
        <w:t>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are located in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68348D6B"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EE384F" w:rsidRPr="00EE384F" w14:paraId="1E94234A"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5D18E10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1E7E9AD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7A082D1B"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6B76BA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65AACA40"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641DE37F"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69AD6EB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3D7CDAFD"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79E9EF7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r w:rsidRPr="00EE384F">
              <w:rPr>
                <w:rFonts w:ascii="Calibri" w:eastAsia="Times New Roman" w:hAnsi="Calibri" w:cs="Calibri"/>
                <w:b/>
                <w:bCs/>
                <w:color w:val="FFFFFF"/>
                <w:sz w:val="18"/>
                <w:szCs w:val="18"/>
              </w:rPr>
              <w:br/>
              <w:t>(Non-Historical)</w:t>
            </w:r>
          </w:p>
        </w:tc>
      </w:tr>
      <w:tr w:rsidR="00EE384F" w:rsidRPr="00EE384F" w14:paraId="08A063D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23C7FDA"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Anawalt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601B4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A641E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E94F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99AC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B81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52F2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02BB9C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8831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748605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22ACB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29487CC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CE80D7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59CEB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95C5B0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71D3B3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77589B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33212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30C93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4AFFB1F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48FF74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320EE8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0840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997CE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F59C3A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1B4785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3794B3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46696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B4541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4CEC694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5BFEE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A4F463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4501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5CFF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2B301A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85243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6E2063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816097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075A94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r>
      <w:tr w:rsidR="00EE384F" w:rsidRPr="00EE384F" w14:paraId="5B22CD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8FAA20"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Iaeger</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67E659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A0C352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15F4D0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1B63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5D29FA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42998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2080F0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A3480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BB5225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12B89E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5E55FE7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10FB9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1C0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481A2E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C52DB7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1B97D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40AD6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EE3941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73112A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EF2C0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71D4279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00B7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8BD6D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8BE5C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9DE96D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4CDB5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8880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5AD5F6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74EF5B0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0A5B1F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FAA13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BC2A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7026C1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19DD26D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4285C2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B65022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5D10DA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8" w:space="0" w:color="auto"/>
            </w:tcBorders>
            <w:shd w:val="clear" w:color="000000" w:fill="F2F2F2"/>
            <w:noWrap/>
            <w:vAlign w:val="bottom"/>
            <w:hideMark/>
          </w:tcPr>
          <w:p w14:paraId="6A9F1B8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53</w:t>
            </w:r>
          </w:p>
        </w:tc>
      </w:tr>
      <w:tr w:rsidR="00EE384F" w:rsidRPr="00EE384F" w14:paraId="174D859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D8552ED"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Northfork</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CB06F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D72C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DD186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6FEAA2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2D22F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6A79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3B564D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00E9758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r>
      <w:tr w:rsidR="00EE384F" w:rsidRPr="00EE384F" w14:paraId="2B91740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0AE6B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0142FA2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183745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B11DD7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76B0FD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14BE2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35A87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8BFC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56840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9</w:t>
            </w:r>
          </w:p>
        </w:tc>
      </w:tr>
      <w:tr w:rsidR="00EE384F" w:rsidRPr="00EE384F" w14:paraId="1C613AC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1D667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30F0E45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74697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0FE08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CA1273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69BDB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A129A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DC76FF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71E31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17</w:t>
            </w:r>
          </w:p>
        </w:tc>
      </w:tr>
      <w:tr w:rsidR="00EE384F" w:rsidRPr="00EE384F" w14:paraId="6427060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2B3BF05" w14:textId="5FB17CA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4B3EF3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5EE01D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26C9EA5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2B30569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87694CD"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78377448"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274D91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57B8B5E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111</w:t>
            </w:r>
          </w:p>
        </w:tc>
      </w:tr>
      <w:tr w:rsidR="00EE384F" w:rsidRPr="00EE384F" w14:paraId="023EB9C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88118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2514DAC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C19FEB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4DF7C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626FE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0EB6A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604BF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34F42C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2C1DCC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576E435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B68A1D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38166E1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F8A017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66B9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BEA0E9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D3EE77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42789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E18900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59E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15EB94D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19477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30D6FC7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2A12EF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C936E4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F99A1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A36F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F3B288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B8F710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8EF0DA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150868FB"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9BAA9EC"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591568B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5F5E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6BBC6F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CCC56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46121C5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3FD701E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67137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306E5D9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39</w:t>
            </w:r>
          </w:p>
        </w:tc>
      </w:tr>
      <w:tr w:rsidR="00EE384F" w:rsidRPr="00EE384F" w14:paraId="5AA9350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EB02ED6"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Oakvale</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801B6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CE1E5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6F3AA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02A48A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32E23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81E7D1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4B13B3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E39637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77AD614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863355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01030E0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D3CC7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0A19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1D3956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D16E30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20FC11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16F181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DFD40D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71A5066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6AC0F59" w14:textId="37082D19"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1D5AC4F"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2D4050E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76B9D1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1676043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6</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88BD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89C375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C034A6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05498CA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56</w:t>
            </w:r>
          </w:p>
        </w:tc>
      </w:tr>
      <w:tr w:rsidR="00EE384F" w:rsidRPr="00EE384F" w14:paraId="757A70E8"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3893E7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332DF83B"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598AE3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60A2C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0F51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57CC0C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DFC16A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FD59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462985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38F16EF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54A5C6E"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0C8D46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7388872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7B5849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69AC48E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176B58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121E67B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37E8E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193C4A0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15</w:t>
            </w:r>
          </w:p>
        </w:tc>
      </w:tr>
      <w:tr w:rsidR="00EE384F" w:rsidRPr="00EE384F" w14:paraId="4C19C2D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3A29C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4F61BEC3"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3E0284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97581F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C086CE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A4690F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35272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22BFCEC"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C92F0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46E49651"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355930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54F5EE8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9CC5DF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3EFF3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BD2AD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C65B86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5611B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5E033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66AE46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r>
      <w:tr w:rsidR="00EE384F" w:rsidRPr="00EE384F" w14:paraId="2D0D11B0"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4D93CE5" w14:textId="4FB6D96B"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7D02093C"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52294027"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38EEDA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D404FE6"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57460CC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356559F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C38C4CE"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8E2BA2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19</w:t>
            </w:r>
          </w:p>
        </w:tc>
      </w:tr>
      <w:tr w:rsidR="00EE384F" w:rsidRPr="00EE384F" w14:paraId="1408C63F"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4D5D6EF"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3AA3574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758316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D6D45B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641867E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755F9E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60101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8563D0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1F6F833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6EE7D0A4"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FAA116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2A69ED24"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CBB405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9F2CC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5385C7D3"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E4FDB7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A3610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ECF6DD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6B4BDF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325233B7"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3C1AB7"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Mabscott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72D9B12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6CFF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4A119E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336B91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0B8D80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435A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8EC482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2B99475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03ADD08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696B0E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2E0E25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FC087B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482291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712F13D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361A14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2187A49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6BC2A17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24B9B6F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61</w:t>
            </w:r>
          </w:p>
        </w:tc>
      </w:tr>
      <w:tr w:rsidR="00EE384F" w:rsidRPr="00EE384F" w14:paraId="018EA37A"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E25322B" w14:textId="77777777" w:rsidR="00EE384F" w:rsidRPr="00EE384F" w:rsidRDefault="00EE384F" w:rsidP="00EE384F">
            <w:pPr>
              <w:spacing w:after="0" w:line="240" w:lineRule="auto"/>
              <w:rPr>
                <w:rFonts w:ascii="Calibri" w:eastAsia="Times New Roman" w:hAnsi="Calibri" w:cs="Calibri"/>
                <w:color w:val="000000"/>
                <w:sz w:val="18"/>
                <w:szCs w:val="18"/>
              </w:rPr>
            </w:pPr>
            <w:proofErr w:type="spellStart"/>
            <w:r w:rsidRPr="00EE384F">
              <w:rPr>
                <w:rFonts w:ascii="Calibri" w:eastAsia="Times New Roman" w:hAnsi="Calibri" w:cs="Calibri"/>
                <w:color w:val="000000"/>
                <w:sz w:val="18"/>
                <w:szCs w:val="18"/>
              </w:rPr>
              <w:t>Rhodell</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340269C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BA095B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A9C5D9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1BBED74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0355707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FC895D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2948A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43D5F11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r>
      <w:tr w:rsidR="00EE384F" w:rsidRPr="00EE384F" w14:paraId="5DA2E62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822219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306E6B8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1FF3A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D3572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29C3A5A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1B69E68"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5E7D21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973EC8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3F4538D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r>
      <w:tr w:rsidR="00EE384F" w:rsidRPr="00EE384F" w14:paraId="3B917C5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1B02F26" w14:textId="34BFC6B2"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F0D84B8"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34A95E5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51</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095CF4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E3CD6A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F0420B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C68923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2BDC0C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499CE71"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71</w:t>
            </w:r>
          </w:p>
        </w:tc>
      </w:tr>
      <w:tr w:rsidR="00EE384F" w:rsidRPr="00EE384F" w14:paraId="58C20A49"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15A170"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76DF10F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69BA8C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A7BA1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99A89E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A9277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5C54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31024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001C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r>
      <w:tr w:rsidR="00EE384F" w:rsidRPr="00EE384F" w14:paraId="65E85955"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7117341"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37F4B3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25749B0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6D0C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43742FC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5B58E1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7BD26B7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27099E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44CC1FA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w:t>
            </w:r>
          </w:p>
        </w:tc>
      </w:tr>
      <w:tr w:rsidR="00EE384F" w:rsidRPr="00EE384F" w14:paraId="290740E6"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9717B9" w14:textId="3C3678ED"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275C36A"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6AD67D9E"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19DF482"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2</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63B9FE75"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163C989"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1C37705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15DDEF9C"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7E3DEF03"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7</w:t>
            </w:r>
          </w:p>
        </w:tc>
      </w:tr>
      <w:tr w:rsidR="00EE384F" w:rsidRPr="00EE384F" w14:paraId="0C3CF7B3"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5BE1E09"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4993397A"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010E0F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293A0A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4485F0B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17181F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A93AB82"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E277EB4"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C34AF7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0568ADFE"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9F744CD"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3E173DD8"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CAC6B5A"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9F140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AD0B43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39FD55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C744CB"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A6D45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532D217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11</w:t>
            </w:r>
          </w:p>
        </w:tc>
      </w:tr>
      <w:tr w:rsidR="00EE384F" w:rsidRPr="00EE384F" w14:paraId="230B89DC"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BE796C2"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1E8F4DC5"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AA7485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E903B2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bottom"/>
            <w:hideMark/>
          </w:tcPr>
          <w:p w14:paraId="7E3939E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4702A50"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142A97"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6B28925"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bottom"/>
            <w:hideMark/>
          </w:tcPr>
          <w:p w14:paraId="7A44234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w:t>
            </w:r>
          </w:p>
        </w:tc>
      </w:tr>
      <w:tr w:rsidR="00EE384F" w:rsidRPr="00EE384F" w14:paraId="61E36A8D" w14:textId="77777777" w:rsidTr="00EE384F">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CB46FA7"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012C0C06" w14:textId="77777777" w:rsidR="00EE384F" w:rsidRPr="00EE384F" w:rsidRDefault="00EE384F" w:rsidP="00EE384F">
            <w:pPr>
              <w:spacing w:after="0" w:line="240" w:lineRule="auto"/>
              <w:rPr>
                <w:rFonts w:ascii="Calibri" w:eastAsia="Times New Roman" w:hAnsi="Calibri" w:cs="Calibri"/>
                <w:color w:val="000000"/>
                <w:sz w:val="18"/>
                <w:szCs w:val="18"/>
              </w:rPr>
            </w:pPr>
            <w:r w:rsidRPr="00EE384F">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1D5F80E"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899FB9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bottom"/>
            <w:hideMark/>
          </w:tcPr>
          <w:p w14:paraId="2654BDC9"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1C018A8F"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bottom"/>
            <w:hideMark/>
          </w:tcPr>
          <w:p w14:paraId="022D4ED1"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F356A9D"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bottom"/>
            <w:hideMark/>
          </w:tcPr>
          <w:p w14:paraId="5F47D5D6" w14:textId="77777777" w:rsidR="00EE384F" w:rsidRPr="00EE384F" w:rsidRDefault="00EE384F" w:rsidP="00EE384F">
            <w:pPr>
              <w:spacing w:after="0" w:line="240" w:lineRule="auto"/>
              <w:jc w:val="center"/>
              <w:rPr>
                <w:rFonts w:ascii="Calibri" w:eastAsia="Times New Roman" w:hAnsi="Calibri" w:cs="Calibri"/>
                <w:color w:val="000000"/>
                <w:sz w:val="18"/>
                <w:szCs w:val="18"/>
              </w:rPr>
            </w:pPr>
            <w:r w:rsidRPr="00EE384F">
              <w:rPr>
                <w:rFonts w:ascii="Calibri" w:eastAsia="Times New Roman" w:hAnsi="Calibri" w:cs="Calibri"/>
                <w:color w:val="000000"/>
                <w:sz w:val="18"/>
                <w:szCs w:val="18"/>
              </w:rPr>
              <w:t>61</w:t>
            </w:r>
          </w:p>
        </w:tc>
      </w:tr>
      <w:tr w:rsidR="00EE384F" w:rsidRPr="00EE384F" w14:paraId="66681B26" w14:textId="77777777" w:rsidTr="00EE384F">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211963E4" w14:textId="10C9E2E8"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 </w:t>
            </w:r>
            <w:r w:rsidRPr="00394FF7">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619D2D4" w14:textId="77777777" w:rsidR="00EE384F" w:rsidRPr="00EE384F" w:rsidRDefault="00EE384F" w:rsidP="00EE384F">
            <w:pPr>
              <w:spacing w:after="0" w:line="240" w:lineRule="auto"/>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WYOMING</w:t>
            </w:r>
          </w:p>
        </w:tc>
        <w:tc>
          <w:tcPr>
            <w:tcW w:w="900" w:type="dxa"/>
            <w:gridSpan w:val="2"/>
            <w:tcBorders>
              <w:top w:val="nil"/>
              <w:left w:val="single" w:sz="4" w:space="0" w:color="auto"/>
              <w:bottom w:val="single" w:sz="4" w:space="0" w:color="auto"/>
              <w:right w:val="single" w:sz="4" w:space="0" w:color="auto"/>
            </w:tcBorders>
            <w:shd w:val="clear" w:color="000000" w:fill="FCD5B4"/>
            <w:noWrap/>
            <w:vAlign w:val="bottom"/>
            <w:hideMark/>
          </w:tcPr>
          <w:p w14:paraId="07BA0747"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65</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6B5F6BA"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15</w:t>
            </w:r>
          </w:p>
        </w:tc>
        <w:tc>
          <w:tcPr>
            <w:tcW w:w="720" w:type="dxa"/>
            <w:gridSpan w:val="3"/>
            <w:tcBorders>
              <w:top w:val="nil"/>
              <w:left w:val="nil"/>
              <w:bottom w:val="single" w:sz="4" w:space="0" w:color="auto"/>
              <w:right w:val="single" w:sz="4" w:space="0" w:color="auto"/>
            </w:tcBorders>
            <w:shd w:val="clear" w:color="000000" w:fill="FCD5B4"/>
            <w:noWrap/>
            <w:vAlign w:val="bottom"/>
            <w:hideMark/>
          </w:tcPr>
          <w:p w14:paraId="0DC6FF70"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2642123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bottom"/>
            <w:hideMark/>
          </w:tcPr>
          <w:p w14:paraId="4FC1164D"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3D8177C4"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bottom"/>
            <w:hideMark/>
          </w:tcPr>
          <w:p w14:paraId="2ADC7458" w14:textId="77777777" w:rsidR="00EE384F" w:rsidRPr="00EE384F" w:rsidRDefault="00EE384F" w:rsidP="00EE384F">
            <w:pPr>
              <w:spacing w:after="0" w:line="240" w:lineRule="auto"/>
              <w:jc w:val="center"/>
              <w:rPr>
                <w:rFonts w:ascii="Calibri" w:eastAsia="Times New Roman" w:hAnsi="Calibri" w:cs="Calibri"/>
                <w:b/>
                <w:bCs/>
                <w:color w:val="000000"/>
                <w:sz w:val="18"/>
                <w:szCs w:val="18"/>
              </w:rPr>
            </w:pPr>
            <w:r w:rsidRPr="00EE384F">
              <w:rPr>
                <w:rFonts w:ascii="Calibri" w:eastAsia="Times New Roman" w:hAnsi="Calibri" w:cs="Calibri"/>
                <w:b/>
                <w:bCs/>
                <w:color w:val="000000"/>
                <w:sz w:val="18"/>
                <w:szCs w:val="18"/>
              </w:rPr>
              <w:t>84</w:t>
            </w:r>
          </w:p>
        </w:tc>
      </w:tr>
      <w:tr w:rsidR="00EE384F" w:rsidRPr="00EE384F" w14:paraId="6335256D" w14:textId="77777777" w:rsidTr="00EE384F">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2E67013"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1D6658A1" w14:textId="77777777" w:rsidR="00EE384F" w:rsidRPr="00EE384F" w:rsidRDefault="00EE384F" w:rsidP="00EE384F">
            <w:pPr>
              <w:spacing w:after="0" w:line="240" w:lineRule="auto"/>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A62D627"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252</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CBE82D1"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61</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73AD4E16"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26</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5A998ABE"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F6C7277"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0E701819"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7D593AE4" w14:textId="77777777" w:rsidR="00EE384F" w:rsidRPr="00EE384F" w:rsidRDefault="00EE384F" w:rsidP="00EE384F">
            <w:pPr>
              <w:spacing w:after="0" w:line="240" w:lineRule="auto"/>
              <w:jc w:val="center"/>
              <w:rPr>
                <w:rFonts w:ascii="Calibri" w:eastAsia="Times New Roman" w:hAnsi="Calibri" w:cs="Calibri"/>
                <w:b/>
                <w:bCs/>
                <w:color w:val="FFFFFF"/>
                <w:sz w:val="18"/>
                <w:szCs w:val="18"/>
              </w:rPr>
            </w:pPr>
            <w:r w:rsidRPr="00EE384F">
              <w:rPr>
                <w:rFonts w:ascii="Calibri" w:eastAsia="Times New Roman" w:hAnsi="Calibri" w:cs="Calibri"/>
                <w:b/>
                <w:bCs/>
                <w:color w:val="FFFFFF"/>
                <w:sz w:val="18"/>
                <w:szCs w:val="18"/>
              </w:rPr>
              <w:t>348</w:t>
            </w:r>
          </w:p>
        </w:tc>
      </w:tr>
      <w:tr w:rsidR="00E2152D" w:rsidRPr="00AC3763" w14:paraId="0D31B660" w14:textId="77777777" w:rsidTr="00EE384F">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EE384F">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13298B6D" w14:textId="75E7E922" w:rsidR="00AC3763" w:rsidRDefault="00E2152D" w:rsidP="007B75C4">
      <w:pPr>
        <w:spacing w:after="0"/>
      </w:pPr>
      <w:r w:rsidRPr="00E2152D">
        <w:rPr>
          <w:sz w:val="16"/>
          <w:szCs w:val="16"/>
        </w:rPr>
        <w:t xml:space="preserve">Region 1 Tabular Community-Level Report Link:  </w:t>
      </w:r>
      <w:hyperlink r:id="rId25" w:history="1">
        <w:r w:rsidR="007B75C4" w:rsidRPr="007B75C4">
          <w:rPr>
            <w:rStyle w:val="Hyperlink"/>
            <w:sz w:val="16"/>
            <w:szCs w:val="16"/>
          </w:rPr>
          <w:t>data.wvgis.wvu.edu - /pub/RA/State/CL/</w:t>
        </w:r>
        <w:proofErr w:type="spellStart"/>
        <w:r w:rsidR="007B75C4" w:rsidRPr="007B75C4">
          <w:rPr>
            <w:rStyle w:val="Hyperlink"/>
            <w:sz w:val="16"/>
            <w:szCs w:val="16"/>
          </w:rPr>
          <w:t>Community_Asset</w:t>
        </w:r>
        <w:proofErr w:type="spellEnd"/>
        <w:r w:rsidR="007B75C4" w:rsidRPr="007B75C4">
          <w:rPr>
            <w:rStyle w:val="Hyperlink"/>
            <w:sz w:val="16"/>
            <w:szCs w:val="16"/>
          </w:rPr>
          <w:t>/</w:t>
        </w:r>
      </w:hyperlink>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Anawalt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Iaeger</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Northfork</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Oakvale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Mabscott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Rhodell</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7773F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5"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5"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5"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5"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2DC76744"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5"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5"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5"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5"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Northfork</w:t>
            </w:r>
            <w:proofErr w:type="spellEnd"/>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Mcdowell</w:t>
            </w:r>
            <w:proofErr w:type="spellEnd"/>
            <w:r w:rsidRPr="0007665A">
              <w:rPr>
                <w:rFonts w:ascii="Calibri" w:eastAsia="Times New Roman" w:hAnsi="Calibri" w:cs="Calibri"/>
                <w:color w:val="000000"/>
                <w:sz w:val="18"/>
                <w:szCs w:val="18"/>
              </w:rPr>
              <w:t xml:space="preserve">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5"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5"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5"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5"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5"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5"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5"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5"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5"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5"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5"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560BBA0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59BB517F" w:rsidR="0007665A" w:rsidRPr="0007665A" w:rsidRDefault="00580ABE" w:rsidP="0007665A">
            <w:pPr>
              <w:spacing w:after="0" w:line="240" w:lineRule="auto"/>
              <w:rPr>
                <w:rFonts w:ascii="Calibri" w:eastAsia="Times New Roman" w:hAnsi="Calibri" w:cs="Calibri"/>
                <w:color w:val="000000"/>
                <w:sz w:val="18"/>
                <w:szCs w:val="18"/>
              </w:rPr>
            </w:pPr>
            <w:r w:rsidRPr="00580ABE">
              <w:rPr>
                <w:rFonts w:ascii="Calibri" w:eastAsia="Times New Roman" w:hAnsi="Calibri" w:cs="Calibri"/>
                <w:color w:val="000000"/>
                <w:sz w:val="18"/>
                <w:szCs w:val="18"/>
              </w:rPr>
              <w:t>Bluefield Sanitary Board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8E7A76"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46255CDF"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1" w:history="1">
        <w:r w:rsidR="00620AA1">
          <w:rPr>
            <w:rStyle w:val="Hyperlink"/>
            <w:sz w:val="18"/>
            <w:szCs w:val="18"/>
          </w:rPr>
          <w:t>https://data.wvgis.wvu.edu/pub/RA/State/BL/CommunityAsset/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r w:rsidRPr="00F366C0">
              <w:rPr>
                <w:rFonts w:ascii="Calibri" w:eastAsia="Times New Roman" w:hAnsi="Calibri" w:cs="Calibri"/>
                <w:color w:val="000000"/>
                <w:sz w:val="18"/>
                <w:szCs w:val="18"/>
              </w:rPr>
              <w:t xml:space="preserve">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Church Of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Church Of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r w:rsidRPr="00F366C0">
              <w:rPr>
                <w:rFonts w:ascii="Calibri" w:eastAsia="Times New Roman" w:hAnsi="Calibri" w:cs="Calibri"/>
                <w:color w:val="000000"/>
                <w:sz w:val="18"/>
                <w:szCs w:val="18"/>
              </w:rPr>
              <w:t xml:space="preserve"> Church Of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 of God In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 Of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Berwind</w:t>
            </w:r>
            <w:proofErr w:type="spellEnd"/>
            <w:r w:rsidRPr="00F366C0">
              <w:rPr>
                <w:rFonts w:ascii="Calibri" w:eastAsia="Times New Roman" w:hAnsi="Calibri" w:cs="Calibri"/>
                <w:color w:val="000000"/>
                <w:sz w:val="18"/>
                <w:szCs w:val="18"/>
              </w:rPr>
              <w:t xml:space="preserve">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Havaco</w:t>
            </w:r>
            <w:proofErr w:type="spellEnd"/>
            <w:r w:rsidRPr="00F366C0">
              <w:rPr>
                <w:rFonts w:ascii="Calibri" w:eastAsia="Times New Roman" w:hAnsi="Calibri" w:cs="Calibri"/>
                <w:color w:val="000000"/>
                <w:sz w:val="18"/>
                <w:szCs w:val="18"/>
              </w:rPr>
              <w:t xml:space="preserve">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Midway </w:t>
            </w:r>
            <w:proofErr w:type="spellStart"/>
            <w:r w:rsidRPr="00F366C0">
              <w:rPr>
                <w:rFonts w:ascii="Calibri" w:eastAsia="Times New Roman" w:hAnsi="Calibri" w:cs="Calibri"/>
                <w:color w:val="000000"/>
                <w:sz w:val="18"/>
                <w:szCs w:val="18"/>
              </w:rPr>
              <w:t>Shilo</w:t>
            </w:r>
            <w:proofErr w:type="spellEnd"/>
            <w:r w:rsidRPr="00F366C0">
              <w:rPr>
                <w:rFonts w:ascii="Calibri" w:eastAsia="Times New Roman" w:hAnsi="Calibri" w:cs="Calibri"/>
                <w:color w:val="000000"/>
                <w:sz w:val="18"/>
                <w:szCs w:val="18"/>
              </w:rPr>
              <w:t xml:space="preserve">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r w:rsidRPr="00F366C0">
              <w:rPr>
                <w:rFonts w:ascii="Calibri" w:eastAsia="Times New Roman" w:hAnsi="Calibri" w:cs="Calibri"/>
                <w:color w:val="000000"/>
                <w:sz w:val="18"/>
                <w:szCs w:val="18"/>
              </w:rPr>
              <w:t xml:space="preserve">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8E7A76"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8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8E7A76"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08"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8E7A76"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6CCE1924" w:rsidR="00390CD8" w:rsidRDefault="00390CD8" w:rsidP="00B361B2">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4" w:history="1">
        <w:hyperlink r:id="rId115" w:history="1">
          <w:r w:rsidR="00B361B2" w:rsidRPr="00B361B2">
            <w:rPr>
              <w:rStyle w:val="Hyperlink"/>
              <w:sz w:val="18"/>
              <w:szCs w:val="18"/>
            </w:rPr>
            <w:t>data.wvgis.wvu.edu - /pub/RA/State/BL/CommunityAsset/</w:t>
          </w:r>
        </w:hyperlink>
        <w:r w:rsidRPr="00B361B2">
          <w:rPr>
            <w:rStyle w:val="Hyperlink"/>
            <w:sz w:val="18"/>
            <w:szCs w:val="18"/>
          </w:rPr>
          <w:br/>
        </w:r>
      </w:hyperlink>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2919A36A"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097A60">
        <w:t>Community Assets</w:t>
      </w:r>
      <w:r w:rsidRPr="00120876">
        <w:t xml:space="preserve"> </w:t>
      </w:r>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First Methodist Church Of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Church of </w:t>
            </w:r>
            <w:proofErr w:type="spellStart"/>
            <w:r w:rsidRPr="00064941">
              <w:rPr>
                <w:rFonts w:ascii="Calibri" w:eastAsia="Times New Roman" w:hAnsi="Calibri" w:cs="Calibri"/>
                <w:color w:val="000000"/>
                <w:sz w:val="18"/>
                <w:szCs w:val="18"/>
              </w:rPr>
              <w:t>Nazerene</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8E7A76"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11E8073A" w:rsidR="007547A9" w:rsidRDefault="00F346C6" w:rsidP="00A7636B">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A7636B" w:rsidRPr="00A7636B">
          <w:rPr>
            <w:rStyle w:val="Hyperlink"/>
            <w:sz w:val="18"/>
            <w:szCs w:val="18"/>
          </w:rPr>
          <w:t>data.wvgis.wvu.edu - /pub/RA/State/BL/</w:t>
        </w:r>
        <w:proofErr w:type="spellStart"/>
        <w:r w:rsidR="00A7636B" w:rsidRPr="00A7636B">
          <w:rPr>
            <w:rStyle w:val="Hyperlink"/>
            <w:sz w:val="18"/>
            <w:szCs w:val="18"/>
          </w:rPr>
          <w:t>CommunityAsset</w:t>
        </w:r>
        <w:proofErr w:type="spellEnd"/>
        <w:r w:rsidR="00A7636B" w:rsidRPr="00A7636B">
          <w:rPr>
            <w:rStyle w:val="Hyperlink"/>
            <w:sz w:val="18"/>
            <w:szCs w:val="18"/>
          </w:rPr>
          <w:t>/</w:t>
        </w:r>
      </w:hyperlink>
    </w:p>
    <w:p w14:paraId="59A45B2B" w14:textId="4B282847" w:rsidR="007547A9" w:rsidRPr="00F902AD" w:rsidRDefault="007547A9" w:rsidP="00C52344">
      <w:pPr>
        <w:rPr>
          <w:b/>
          <w:bCs/>
        </w:rPr>
      </w:pPr>
      <w:r>
        <w:rPr>
          <w:b/>
          <w:bCs/>
        </w:rPr>
        <w:t xml:space="preserve">Verification with Community-Level Report:  </w:t>
      </w:r>
      <w:r w:rsidRPr="000166FC">
        <w:rPr>
          <w:bCs/>
        </w:rPr>
        <w:t>A summary report for all communities and regions can be accessed at</w:t>
      </w:r>
      <w:r w:rsidR="00C52344">
        <w:rPr>
          <w:bCs/>
        </w:rPr>
        <w:t xml:space="preserve"> </w:t>
      </w:r>
      <w:hyperlink r:id="rId139" w:history="1">
        <w:r w:rsidR="00C52344">
          <w:rPr>
            <w:rStyle w:val="Hyperlink"/>
          </w:rPr>
          <w:t>data.wvgis.wvu.edu - /pub/RA/State/CL/</w:t>
        </w:r>
        <w:proofErr w:type="spellStart"/>
        <w:r w:rsidR="00C52344">
          <w:rPr>
            <w:rStyle w:val="Hyperlink"/>
          </w:rPr>
          <w:t>Community_Asset</w:t>
        </w:r>
        <w:proofErr w:type="spellEnd"/>
        <w:r w:rsidR="00C52344">
          <w:rPr>
            <w:rStyle w:val="Hyperlink"/>
          </w:rPr>
          <w:t>/</w:t>
        </w:r>
      </w:hyperlink>
      <w:r w:rsidR="00C52344">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121633" w:rsidRDefault="00121633" w:rsidP="00EF28C4">
      <w:pPr>
        <w:spacing w:after="0" w:line="240" w:lineRule="auto"/>
      </w:pPr>
      <w:r>
        <w:separator/>
      </w:r>
    </w:p>
  </w:endnote>
  <w:endnote w:type="continuationSeparator" w:id="0">
    <w:p w14:paraId="6A28E52D" w14:textId="77777777" w:rsidR="00121633" w:rsidRDefault="0012163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121633" w:rsidRDefault="0012163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62798AA2"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2771E">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A2771E">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A2771E">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62798AA2"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A2771E">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A2771E">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A2771E">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5642167" w:rsidR="00121633" w:rsidRDefault="008E7A76">
    <w:pPr>
      <w:pStyle w:val="Footer"/>
      <w:jc w:val="right"/>
    </w:pPr>
    <w:sdt>
      <w:sdtPr>
        <w:id w:val="1783145361"/>
        <w:docPartObj>
          <w:docPartGallery w:val="Page Numbers (Bottom of Page)"/>
          <w:docPartUnique/>
        </w:docPartObj>
      </w:sdtPr>
      <w:sdtEndPr>
        <w:rPr>
          <w:noProof/>
        </w:rPr>
      </w:sdtEndPr>
      <w:sdtContent>
        <w:r w:rsidR="00121633">
          <w:fldChar w:fldCharType="begin"/>
        </w:r>
        <w:r w:rsidR="00121633">
          <w:instrText xml:space="preserve"> PAGE   \* MERGEFORMAT </w:instrText>
        </w:r>
        <w:r w:rsidR="00121633">
          <w:fldChar w:fldCharType="separate"/>
        </w:r>
        <w:r w:rsidR="006B0BA5">
          <w:rPr>
            <w:noProof/>
          </w:rPr>
          <w:t>10</w:t>
        </w:r>
        <w:r w:rsidR="00121633">
          <w:rPr>
            <w:noProof/>
          </w:rPr>
          <w:fldChar w:fldCharType="end"/>
        </w:r>
      </w:sdtContent>
    </w:sdt>
  </w:p>
  <w:p w14:paraId="426BDA56" w14:textId="1E47C7A7" w:rsidR="00121633" w:rsidRDefault="0012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121633" w:rsidRDefault="00121633" w:rsidP="00EF28C4">
      <w:pPr>
        <w:spacing w:after="0" w:line="240" w:lineRule="auto"/>
      </w:pPr>
      <w:r>
        <w:separator/>
      </w:r>
    </w:p>
  </w:footnote>
  <w:footnote w:type="continuationSeparator" w:id="0">
    <w:p w14:paraId="3D90B745" w14:textId="77777777" w:rsidR="00121633" w:rsidRDefault="0012163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bE0NDe1tDQxNzRQ0lEKTi0uzszPAykwqQUAofMflCwAAAA="/>
  </w:docVars>
  <w:rsids>
    <w:rsidRoot w:val="00723EE0"/>
    <w:rsid w:val="000332BA"/>
    <w:rsid w:val="00040533"/>
    <w:rsid w:val="000418DC"/>
    <w:rsid w:val="00044C4D"/>
    <w:rsid w:val="00064941"/>
    <w:rsid w:val="0006539D"/>
    <w:rsid w:val="00070974"/>
    <w:rsid w:val="00075AA8"/>
    <w:rsid w:val="0007665A"/>
    <w:rsid w:val="0007729D"/>
    <w:rsid w:val="00095F92"/>
    <w:rsid w:val="00097A60"/>
    <w:rsid w:val="000A0906"/>
    <w:rsid w:val="000A6823"/>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2E7232"/>
    <w:rsid w:val="002F39A6"/>
    <w:rsid w:val="003047EF"/>
    <w:rsid w:val="003057D2"/>
    <w:rsid w:val="00332BFE"/>
    <w:rsid w:val="00334D48"/>
    <w:rsid w:val="00364D99"/>
    <w:rsid w:val="00377EC9"/>
    <w:rsid w:val="003835DB"/>
    <w:rsid w:val="00390CD8"/>
    <w:rsid w:val="00394FF7"/>
    <w:rsid w:val="003A096D"/>
    <w:rsid w:val="003B2D90"/>
    <w:rsid w:val="003C7540"/>
    <w:rsid w:val="003D1354"/>
    <w:rsid w:val="003D4B51"/>
    <w:rsid w:val="003E4167"/>
    <w:rsid w:val="003F1E86"/>
    <w:rsid w:val="004176DA"/>
    <w:rsid w:val="00443B02"/>
    <w:rsid w:val="004457FA"/>
    <w:rsid w:val="004515AC"/>
    <w:rsid w:val="004751EB"/>
    <w:rsid w:val="00481249"/>
    <w:rsid w:val="00497BA1"/>
    <w:rsid w:val="004B4424"/>
    <w:rsid w:val="004C77CE"/>
    <w:rsid w:val="004D6480"/>
    <w:rsid w:val="004E1583"/>
    <w:rsid w:val="0050280A"/>
    <w:rsid w:val="00510A00"/>
    <w:rsid w:val="00512E48"/>
    <w:rsid w:val="005229E9"/>
    <w:rsid w:val="00551C36"/>
    <w:rsid w:val="00567249"/>
    <w:rsid w:val="00580ABE"/>
    <w:rsid w:val="005A7E4D"/>
    <w:rsid w:val="005B3FB2"/>
    <w:rsid w:val="005B57EE"/>
    <w:rsid w:val="005C58EA"/>
    <w:rsid w:val="005D46A7"/>
    <w:rsid w:val="005F46A9"/>
    <w:rsid w:val="00600C5C"/>
    <w:rsid w:val="00613E22"/>
    <w:rsid w:val="00620AA1"/>
    <w:rsid w:val="006212BD"/>
    <w:rsid w:val="00637F4C"/>
    <w:rsid w:val="00644FE4"/>
    <w:rsid w:val="006808DB"/>
    <w:rsid w:val="0068234B"/>
    <w:rsid w:val="00694E34"/>
    <w:rsid w:val="00697F1D"/>
    <w:rsid w:val="006B0BA5"/>
    <w:rsid w:val="006B5B66"/>
    <w:rsid w:val="006B6CAA"/>
    <w:rsid w:val="006D7ECA"/>
    <w:rsid w:val="006E2CDE"/>
    <w:rsid w:val="006E4167"/>
    <w:rsid w:val="006E4A41"/>
    <w:rsid w:val="006E7251"/>
    <w:rsid w:val="00700594"/>
    <w:rsid w:val="00723EE0"/>
    <w:rsid w:val="007443FF"/>
    <w:rsid w:val="007547A9"/>
    <w:rsid w:val="00762DF8"/>
    <w:rsid w:val="007773FF"/>
    <w:rsid w:val="007A46CA"/>
    <w:rsid w:val="007B2BB6"/>
    <w:rsid w:val="007B3D8C"/>
    <w:rsid w:val="007B75C4"/>
    <w:rsid w:val="007C2286"/>
    <w:rsid w:val="007D5CD2"/>
    <w:rsid w:val="007E358C"/>
    <w:rsid w:val="007E67FD"/>
    <w:rsid w:val="008143BA"/>
    <w:rsid w:val="008319F8"/>
    <w:rsid w:val="00832D54"/>
    <w:rsid w:val="00834808"/>
    <w:rsid w:val="00842BA6"/>
    <w:rsid w:val="00843FB7"/>
    <w:rsid w:val="00850243"/>
    <w:rsid w:val="00850B53"/>
    <w:rsid w:val="00854F04"/>
    <w:rsid w:val="00867EBA"/>
    <w:rsid w:val="0087624F"/>
    <w:rsid w:val="00877620"/>
    <w:rsid w:val="008A0DD3"/>
    <w:rsid w:val="008A2548"/>
    <w:rsid w:val="008C15CA"/>
    <w:rsid w:val="008E1F60"/>
    <w:rsid w:val="008E4E0F"/>
    <w:rsid w:val="008E7A76"/>
    <w:rsid w:val="008F6570"/>
    <w:rsid w:val="008F6EA3"/>
    <w:rsid w:val="0094044E"/>
    <w:rsid w:val="00942CD5"/>
    <w:rsid w:val="00966B95"/>
    <w:rsid w:val="00980C3D"/>
    <w:rsid w:val="00983942"/>
    <w:rsid w:val="00996A8E"/>
    <w:rsid w:val="009A6454"/>
    <w:rsid w:val="009F0A83"/>
    <w:rsid w:val="00A150CC"/>
    <w:rsid w:val="00A249BB"/>
    <w:rsid w:val="00A2771E"/>
    <w:rsid w:val="00A3085A"/>
    <w:rsid w:val="00A50987"/>
    <w:rsid w:val="00A50B1B"/>
    <w:rsid w:val="00A5724C"/>
    <w:rsid w:val="00A631C8"/>
    <w:rsid w:val="00A63CB7"/>
    <w:rsid w:val="00A7636B"/>
    <w:rsid w:val="00A8606F"/>
    <w:rsid w:val="00A92B1E"/>
    <w:rsid w:val="00A9518B"/>
    <w:rsid w:val="00A96DBE"/>
    <w:rsid w:val="00AA3702"/>
    <w:rsid w:val="00AA5FC1"/>
    <w:rsid w:val="00AB115A"/>
    <w:rsid w:val="00AB6402"/>
    <w:rsid w:val="00AC3763"/>
    <w:rsid w:val="00AC6223"/>
    <w:rsid w:val="00AD3533"/>
    <w:rsid w:val="00AD4D34"/>
    <w:rsid w:val="00AD7637"/>
    <w:rsid w:val="00AE06E3"/>
    <w:rsid w:val="00AE2C7D"/>
    <w:rsid w:val="00AE7C2A"/>
    <w:rsid w:val="00AF3888"/>
    <w:rsid w:val="00B01AA6"/>
    <w:rsid w:val="00B15F4A"/>
    <w:rsid w:val="00B21C4B"/>
    <w:rsid w:val="00B361B2"/>
    <w:rsid w:val="00B361BA"/>
    <w:rsid w:val="00B44600"/>
    <w:rsid w:val="00B461E2"/>
    <w:rsid w:val="00B52309"/>
    <w:rsid w:val="00B5631C"/>
    <w:rsid w:val="00B75080"/>
    <w:rsid w:val="00B82F4D"/>
    <w:rsid w:val="00B93844"/>
    <w:rsid w:val="00BE11AA"/>
    <w:rsid w:val="00BE156A"/>
    <w:rsid w:val="00BE6598"/>
    <w:rsid w:val="00BE76A0"/>
    <w:rsid w:val="00BF24DE"/>
    <w:rsid w:val="00BF52F7"/>
    <w:rsid w:val="00C04498"/>
    <w:rsid w:val="00C10F5B"/>
    <w:rsid w:val="00C116C2"/>
    <w:rsid w:val="00C22091"/>
    <w:rsid w:val="00C23295"/>
    <w:rsid w:val="00C336D9"/>
    <w:rsid w:val="00C37733"/>
    <w:rsid w:val="00C52344"/>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62CEC"/>
    <w:rsid w:val="00D71FE2"/>
    <w:rsid w:val="00D722D9"/>
    <w:rsid w:val="00D834B1"/>
    <w:rsid w:val="00DA335C"/>
    <w:rsid w:val="00DB27F6"/>
    <w:rsid w:val="00DB5529"/>
    <w:rsid w:val="00DC163B"/>
    <w:rsid w:val="00DC3A2D"/>
    <w:rsid w:val="00DF7AB3"/>
    <w:rsid w:val="00E06015"/>
    <w:rsid w:val="00E2152D"/>
    <w:rsid w:val="00E337B8"/>
    <w:rsid w:val="00E339C5"/>
    <w:rsid w:val="00E34C41"/>
    <w:rsid w:val="00E45AF0"/>
    <w:rsid w:val="00E470B8"/>
    <w:rsid w:val="00E479BB"/>
    <w:rsid w:val="00E65CCB"/>
    <w:rsid w:val="00E77D23"/>
    <w:rsid w:val="00E928D1"/>
    <w:rsid w:val="00E96143"/>
    <w:rsid w:val="00EB1F4D"/>
    <w:rsid w:val="00EE384F"/>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13437108">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7589.202494118&amp;y=4536497.654150485&amp;l=13&amp;v=2" TargetMode="External"/><Relationship Id="rId47" Type="http://schemas.openxmlformats.org/officeDocument/2006/relationships/hyperlink" Target="https://mapwv.gov/flood/map/?wkid=102100&amp;x=-9038473.48768888&amp;y=4522107.363490169&amp;l=13&amp;v=2" TargetMode="External"/><Relationship Id="rId63" Type="http://schemas.openxmlformats.org/officeDocument/2006/relationships/hyperlink" Target="https://mapwv.gov/flood/map/?wkid=102100&amp;x=-9087196.86273743&amp;y=4535977.199561151&amp;l=13&amp;v=2" TargetMode="External"/><Relationship Id="rId68" Type="http://schemas.openxmlformats.org/officeDocument/2006/relationships/hyperlink" Target="https://mapwv.gov/flood/map/?wkid=102100&amp;x=-9096782.196697809&amp;y=4486560.794086836&amp;l=13&amp;v=2" TargetMode="External"/><Relationship Id="rId84" Type="http://schemas.openxmlformats.org/officeDocument/2006/relationships/hyperlink" Target="https://mapwv.gov/flood/map/?wkid=102100&amp;x=-9093907.579238158&amp;y=4481489.471286595&amp;l=13&amp;v=2" TargetMode="External"/><Relationship Id="rId89" Type="http://schemas.openxmlformats.org/officeDocument/2006/relationships/hyperlink" Target="https://mapwv.gov/flood/map/?wkid=102100&amp;x=-8977536.106161797&amp;y=4540484.301032073&amp;l=13&amp;v=2" TargetMode="External"/><Relationship Id="rId112" Type="http://schemas.openxmlformats.org/officeDocument/2006/relationships/hyperlink" Target="https://www.mapwv.gov/flood/map/?wkid=102100&amp;x=-8968992&amp;y=4518785&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82016.02826837&amp;y=4515362.50955506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85785.37077863&amp;y=4476145.143832181&amp;l=13&amp;v=2" TargetMode="External"/><Relationship Id="rId37" Type="http://schemas.openxmlformats.org/officeDocument/2006/relationships/hyperlink" Target="https://mapwv.gov/flood/map/?wkid=102100&amp;x=-9065351.27361419&amp;y=4497141.895316429&amp;l=13&amp;v=2" TargetMode="External"/><Relationship Id="rId53" Type="http://schemas.openxmlformats.org/officeDocument/2006/relationships/hyperlink" Target="https://mapwv.gov/flood/map/?wkid=102100&amp;x=-9085876.341734424&amp;y=4476072.00555706&amp;l=13&amp;v=2" TargetMode="External"/><Relationship Id="rId58" Type="http://schemas.openxmlformats.org/officeDocument/2006/relationships/hyperlink" Target="https://mapwv.gov/flood/map/?wkid=102100&amp;x=-9005622.436591685&amp;y=4488726.016469774&amp;l=13&amp;v=2" TargetMode="External"/><Relationship Id="rId74" Type="http://schemas.openxmlformats.org/officeDocument/2006/relationships/hyperlink" Target="https://mapwv.gov/flood/map/?wkid=102100&amp;x=-9089027.60293419&amp;y=4474930.60055732&amp;l=13&amp;v=2" TargetMode="External"/><Relationship Id="rId79" Type="http://schemas.openxmlformats.org/officeDocument/2006/relationships/hyperlink" Target="https://mapwv.gov/flood/map/?wkid=102100&amp;x=-9083765.559436135&amp;y=4532700.710526136&amp;l=13&amp;v=2" TargetMode="External"/><Relationship Id="rId102" Type="http://schemas.openxmlformats.org/officeDocument/2006/relationships/hyperlink" Target="https://mapwv.gov/flood/map/?wkid=102100&amp;x=-9059336.523452953&amp;y=4520815.76350037&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69152.167323017&amp;y=4518767.373650233&amp;l=13&amp;v=2" TargetMode="External"/><Relationship Id="rId95" Type="http://schemas.openxmlformats.org/officeDocument/2006/relationships/hyperlink" Target="https://mapwv.gov/flood/map/?wkid=102100&amp;x=-8977445.22726722&amp;y=4540340.568046899&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9654.707036676&amp;y=4505977.461792633&amp;l=13&amp;v=2" TargetMode="External"/><Relationship Id="rId48" Type="http://schemas.openxmlformats.org/officeDocument/2006/relationships/hyperlink" Target="https://mapwv.gov/flood/map/?wkid=102100&amp;x=-9026925.370136622&amp;y=4490086.752650186&amp;l=13&amp;v=2" TargetMode="External"/><Relationship Id="rId64" Type="http://schemas.openxmlformats.org/officeDocument/2006/relationships/hyperlink" Target="https://mapwv.gov/flood/map/?wkid=102100&amp;x=-9073597.303856522&amp;y=4498855.594392338&amp;l=13&amp;v=2" TargetMode="External"/><Relationship Id="rId69" Type="http://schemas.openxmlformats.org/officeDocument/2006/relationships/hyperlink" Target="https://mapwv.gov/flood/map/?wkid=102100&amp;x=-9089140.989182645&amp;y=4474945.315846003&amp;l=13&amp;v=2" TargetMode="External"/><Relationship Id="rId113" Type="http://schemas.openxmlformats.org/officeDocument/2006/relationships/hyperlink" Target="https://www.mapwv.gov/flood/map/?wkid=102100&amp;x=-8985514&amp;y=4535174&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9065050.923163999&amp;y=4497029.356407913&amp;l=13&amp;v=2" TargetMode="External"/><Relationship Id="rId85" Type="http://schemas.openxmlformats.org/officeDocument/2006/relationships/hyperlink" Target="https://mapwv.gov/flood/map/?wkid=102100&amp;x=-9055888.98142094&amp;y=4521604.227619516&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90149.908451885&amp;y=4535142.734813036&amp;l=13&amp;v=2" TargetMode="External"/><Relationship Id="rId38" Type="http://schemas.openxmlformats.org/officeDocument/2006/relationships/hyperlink" Target="https://mapwv.gov/flood/map/?wkid=102100&amp;x=-9095077.591502871&amp;y=4505196.001955228&amp;l=13&amp;v=2" TargetMode="External"/><Relationship Id="rId46" Type="http://schemas.openxmlformats.org/officeDocument/2006/relationships/hyperlink" Target="https://mapwv.gov/flood/map/?wkid=102100&amp;x=-9038198.51863918&amp;y=4543243.140181054&amp;l=13&amp;v=2" TargetMode="External"/><Relationship Id="rId59" Type="http://schemas.openxmlformats.org/officeDocument/2006/relationships/hyperlink" Target="https://mapwv.gov/flood/map/?wkid=102100&amp;x=-9055683.898636244&amp;y=4565644.367309077&amp;l=13&amp;v=2" TargetMode="External"/><Relationship Id="rId67" Type="http://schemas.openxmlformats.org/officeDocument/2006/relationships/hyperlink" Target="https://mapwv.gov/flood/map/?wkid=102100&amp;x=-9050946.643715587&amp;y=4524099.791262758&amp;l=13&amp;v=2" TargetMode="External"/><Relationship Id="rId103" Type="http://schemas.openxmlformats.org/officeDocument/2006/relationships/hyperlink" Target="https://mapwv.gov/flood/map/?wkid=102100&amp;x=-9059346.564359702&amp;y=4520845.740525854&amp;l=13&amp;v=2" TargetMode="External"/><Relationship Id="rId108" Type="http://schemas.openxmlformats.org/officeDocument/2006/relationships/hyperlink" Target="https://www.mapwv.gov/flood/map/?wkid=102100&amp;x=-9059319&amp;y=4520665&amp;l=10&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105987.669259822&amp;y=4488253.535005235&amp;l=13&amp;v=2" TargetMode="External"/><Relationship Id="rId54" Type="http://schemas.openxmlformats.org/officeDocument/2006/relationships/hyperlink" Target="https://mapwv.gov/flood/map/?wkid=102100&amp;x=-9078398.493011652&amp;y=4489929.503359586&amp;l=13&amp;v=2" TargetMode="External"/><Relationship Id="rId62" Type="http://schemas.openxmlformats.org/officeDocument/2006/relationships/hyperlink" Target="https://mapwv.gov/flood/map/?wkid=102100&amp;x=-9064913.420549732&amp;y=4497024.117287886&amp;l=13&amp;v=2" TargetMode="External"/><Relationship Id="rId70" Type="http://schemas.openxmlformats.org/officeDocument/2006/relationships/hyperlink" Target="https://mapwv.gov/flood/map/?wkid=102100&amp;x=-9082092.771132782&amp;y=4500561.245778968&amp;l=13&amp;v=2" TargetMode="External"/><Relationship Id="rId75" Type="http://schemas.openxmlformats.org/officeDocument/2006/relationships/hyperlink" Target="https://mapwv.gov/flood/map/?wkid=102100&amp;x=-9086511.911238909&amp;y=4536079.380995998&amp;l=13&amp;v=2" TargetMode="External"/><Relationship Id="rId83" Type="http://schemas.openxmlformats.org/officeDocument/2006/relationships/hyperlink" Target="https://mapwv.gov/flood/map/?wkid=102100&amp;x=-9065200.313030086&amp;y=4497051.428547553&amp;l=13&amp;v=2" TargetMode="External"/><Relationship Id="rId88" Type="http://schemas.openxmlformats.org/officeDocument/2006/relationships/hyperlink" Target="https://mapwv.gov/flood/map/?wkid=102100&amp;x=-8977537.722409483&amp;y=4540464.668087776&amp;l=13&amp;v=2" TargetMode="External"/><Relationship Id="rId91" Type="http://schemas.openxmlformats.org/officeDocument/2006/relationships/hyperlink" Target="https://mapwv.gov/flood/map/?wkid=102100&amp;x=-8977525.901392756&amp;y=4540379.734004191&amp;l=13&amp;v=2" TargetMode="External"/><Relationship Id="rId96" Type="http://schemas.openxmlformats.org/officeDocument/2006/relationships/hyperlink" Target="https://mapwv.gov/flood/map/?wkid=102100&amp;x=-9059527.03763325&amp;y=4520394.921261962&amp;l=13&amp;v=2" TargetMode="External"/><Relationship Id="rId111" Type="http://schemas.openxmlformats.org/officeDocument/2006/relationships/hyperlink" Target="https://www.mapwv.gov/flood/map/?wkid=102100&amp;x=-9051870&amp;y=4484806&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5648.997173293&amp;y=4545161.777330637&amp;l=13&amp;v=2" TargetMode="External"/><Relationship Id="rId49" Type="http://schemas.openxmlformats.org/officeDocument/2006/relationships/hyperlink" Target="https://mapwv.gov/flood/map/?wkid=102100&amp;x=-9034889.14947609&amp;y=4479451.482915121&amp;l=13&amp;v=2" TargetMode="External"/><Relationship Id="rId57" Type="http://schemas.openxmlformats.org/officeDocument/2006/relationships/hyperlink" Target="https://mapwv.gov/flood/map/?wkid=102100&amp;x=-9073345.75008248&amp;y=4498541.012933189&amp;l=13&amp;v=2" TargetMode="External"/><Relationship Id="rId106" Type="http://schemas.openxmlformats.org/officeDocument/2006/relationships/hyperlink" Target="https://mapwv.gov/flood/map/?wkid=102100&amp;x=-9059480.070826886&amp;y=4520394.934606373&amp;l=13&amp;v=2" TargetMode="External"/><Relationship Id="rId114" Type="http://schemas.openxmlformats.org/officeDocument/2006/relationships/hyperlink" Target="https://data.wvgis.wvu.edu/pub/RA/State/BL/CommunityAsset/"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08584.971179534&amp;y=4487286.459332619&amp;l=13&amp;v=2" TargetMode="External"/><Relationship Id="rId44" Type="http://schemas.openxmlformats.org/officeDocument/2006/relationships/hyperlink" Target="https://mapwv.gov/flood/map/?wkid=102100&amp;x=-9078243.843522258&amp;y=4490282.433904215&amp;l=13&amp;v=2" TargetMode="External"/><Relationship Id="rId52" Type="http://schemas.openxmlformats.org/officeDocument/2006/relationships/hyperlink" Target="https://mapwv.gov/flood/map/?wkid=102100&amp;x=-9040671.358119123&amp;y=4547670.069076246&amp;l=13&amp;v=2" TargetMode="External"/><Relationship Id="rId60" Type="http://schemas.openxmlformats.org/officeDocument/2006/relationships/hyperlink" Target="https://mapwv.gov/flood/map/?wkid=102100&amp;x=-8977536.106161797&amp;y=4540484.301032073&amp;l=13&amp;v=2" TargetMode="External"/><Relationship Id="rId65" Type="http://schemas.openxmlformats.org/officeDocument/2006/relationships/hyperlink" Target="https://mapwv.gov/flood/map/?wkid=102100&amp;x=-9066366.786225548&amp;y=4497383.751576195&amp;l=13&amp;v=2" TargetMode="External"/><Relationship Id="rId73" Type="http://schemas.openxmlformats.org/officeDocument/2006/relationships/hyperlink" Target="https://mapwv.gov/flood/map/?wkid=102100&amp;x=-9078300.298534103&amp;y=4499145.408482129&amp;l=13&amp;v=2" TargetMode="External"/><Relationship Id="rId78" Type="http://schemas.openxmlformats.org/officeDocument/2006/relationships/hyperlink" Target="https://mapwv.gov/flood/map/?wkid=102100&amp;x=-9037398.05112771&amp;y=4532307.058190258&amp;l=13&amp;v=2" TargetMode="External"/><Relationship Id="rId81" Type="http://schemas.openxmlformats.org/officeDocument/2006/relationships/hyperlink" Target="https://mapwv.gov/flood/map/?wkid=102100&amp;x=-9094796.575912401&amp;y=4503272.871187675&amp;l=13&amp;v=2" TargetMode="External"/><Relationship Id="rId86" Type="http://schemas.openxmlformats.org/officeDocument/2006/relationships/hyperlink" Target="https://mapwv.gov/flood/map/?wkid=102100&amp;x=-9088189.150095504&amp;y=4471666.1920669135&amp;l=13&amp;v=2" TargetMode="External"/><Relationship Id="rId94" Type="http://schemas.openxmlformats.org/officeDocument/2006/relationships/hyperlink" Target="https://mapwv.gov/flood/map/?wkid=102100&amp;x=-8977430.45305572&amp;y=4540466.748052213&amp;l=13&amp;v=2" TargetMode="External"/><Relationship Id="rId99" Type="http://schemas.openxmlformats.org/officeDocument/2006/relationships/hyperlink" Target="https://mapwv.gov/flood/map/?wkid=102100&amp;x=-9059296.88235964&amp;y=4520882.629663372&amp;l=13&amp;v=2" TargetMode="External"/><Relationship Id="rId101" Type="http://schemas.openxmlformats.org/officeDocument/2006/relationships/hyperlink" Target="https://mapwv.gov/flood/map/?wkid=102100&amp;x=-9051656.547366643&amp;y=4484601.126060734&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43990.649967661&amp;y=4497753.438852977&amp;l=13&amp;v=2" TargetMode="External"/><Relationship Id="rId109" Type="http://schemas.openxmlformats.org/officeDocument/2006/relationships/hyperlink" Target="https://www.mapwv.gov/flood/map/?wkid=102100&amp;x=-9051521&amp;y=4484368&amp;l=10&amp;v=2" TargetMode="External"/><Relationship Id="rId34" Type="http://schemas.openxmlformats.org/officeDocument/2006/relationships/hyperlink" Target="https://mapwv.gov/flood/map/?wkid=102100&amp;x=-9050862.14810325&amp;y=4524229.251955279&amp;l=13&amp;v=2" TargetMode="External"/><Relationship Id="rId50" Type="http://schemas.openxmlformats.org/officeDocument/2006/relationships/hyperlink" Target="https://mapwv.gov/flood/map/?wkid=102100&amp;x=-9077560.727459505&amp;y=4527462.927394168&amp;l=13&amp;v=2" TargetMode="External"/><Relationship Id="rId55" Type="http://schemas.openxmlformats.org/officeDocument/2006/relationships/hyperlink" Target="https://mapwv.gov/flood/map/?wkid=102100&amp;x=-9083919.893000813&amp;y=4532086.767771003&amp;l=13&amp;v=2" TargetMode="External"/><Relationship Id="rId76" Type="http://schemas.openxmlformats.org/officeDocument/2006/relationships/hyperlink" Target="https://mapwv.gov/flood/map/?wkid=102100&amp;x=-9081039.971724024&amp;y=4495655.9992499165&amp;l=13&amp;v=2" TargetMode="External"/><Relationship Id="rId97" Type="http://schemas.openxmlformats.org/officeDocument/2006/relationships/hyperlink" Target="https://mapwv.gov/flood/map/?wkid=102100&amp;x=-9073519.56333353&amp;y=4499202.355003595&amp;l=13&amp;v=2" TargetMode="External"/><Relationship Id="rId104" Type="http://schemas.openxmlformats.org/officeDocument/2006/relationships/hyperlink" Target="https://mapwv.gov/flood/map/?wkid=102100&amp;x=-8977433.498200396&amp;y=4540434.258770748&amp;l=13&amp;v=2" TargetMode="External"/><Relationship Id="rId120" Type="http://schemas.openxmlformats.org/officeDocument/2006/relationships/hyperlink" Target="https://data.wvgis.wvu.edu/pub/RA/State/BL/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977525.901392756&amp;y=4540379.734004191&amp;l=13&amp;v=2" TargetMode="External"/><Relationship Id="rId92" Type="http://schemas.openxmlformats.org/officeDocument/2006/relationships/hyperlink" Target="https://mapwv.gov/flood/map/?wkid=102100&amp;x=-9059434.582009407&amp;y=4520432.118822223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39958.030837117&amp;y=4546781.7725339215&amp;l=13&amp;v=2" TargetMode="External"/><Relationship Id="rId45" Type="http://schemas.openxmlformats.org/officeDocument/2006/relationships/hyperlink" Target="https://mapwv.gov/flood/map/?wkid=102100&amp;x=-9081605.865579981&amp;y=4499857.158400938&amp;l=13&amp;v=2" TargetMode="External"/><Relationship Id="rId66" Type="http://schemas.openxmlformats.org/officeDocument/2006/relationships/hyperlink" Target="https://mapwv.gov/flood/map/?wkid=102100&amp;x=-9081229.552379066&amp;y=4496412.184304414&amp;l=13&amp;v=2" TargetMode="External"/><Relationship Id="rId87" Type="http://schemas.openxmlformats.org/officeDocument/2006/relationships/hyperlink" Target="https://mapwv.gov/flood/map/?wkid=102100&amp;x=-9082096.067080261&amp;y=4499719.595903717&amp;l=13&amp;v=2" TargetMode="External"/><Relationship Id="rId110" Type="http://schemas.openxmlformats.org/officeDocument/2006/relationships/hyperlink" Target="https://www.mapwv.gov/flood/map/?wkid=102100&amp;x=-9082027&amp;y=4499548&amp;l=10&amp;v=2" TargetMode="External"/><Relationship Id="rId115" Type="http://schemas.openxmlformats.org/officeDocument/2006/relationships/hyperlink" Target="https://data.wvgis.wvu.edu/pub/RA/State/BL/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9073554.568081366&amp;y=4498875.123033986&amp;l=13&amp;v=2" TargetMode="External"/><Relationship Id="rId82" Type="http://schemas.openxmlformats.org/officeDocument/2006/relationships/hyperlink" Target="https://mapwv.gov/flood/map/?wkid=102100&amp;x=-9076153.236100568&amp;y=4522841.601372047&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79446.279258464&amp;y=4492785.365300666&amp;l=13&amp;v=2" TargetMode="External"/><Relationship Id="rId35" Type="http://schemas.openxmlformats.org/officeDocument/2006/relationships/hyperlink" Target="https://mapwv.gov/flood/map/?wkid=102100&amp;x=-9039873.700979508&amp;y=4546827.1292427&amp;l=13&amp;v=2" TargetMode="External"/><Relationship Id="rId56" Type="http://schemas.openxmlformats.org/officeDocument/2006/relationships/hyperlink" Target="https://mapwv.gov/flood/map/?wkid=102100&amp;x=-9105077.848493718&amp;y=4517337.885365251&amp;l=13&amp;v=2" TargetMode="External"/><Relationship Id="rId77" Type="http://schemas.openxmlformats.org/officeDocument/2006/relationships/hyperlink" Target="https://mapwv.gov/flood/map/?wkid=102100&amp;x=-9066353.312337024&amp;y=4497503.147032861&amp;l=13&amp;v=2" TargetMode="External"/><Relationship Id="rId100" Type="http://schemas.openxmlformats.org/officeDocument/2006/relationships/hyperlink" Target="https://mapwv.gov/flood/map/?wkid=102100&amp;x=-9059515.614917655&amp;y=4520446.788192369&amp;l=13&amp;v=2" TargetMode="External"/><Relationship Id="rId105" Type="http://schemas.openxmlformats.org/officeDocument/2006/relationships/hyperlink" Target="https://mapwv.gov/flood/map/?wkid=102100&amp;x=-9059345.540109066&amp;y=4520739.80612007&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9087008.244216742&amp;y=4535976.761632814&amp;l=13&amp;v=2" TargetMode="External"/><Relationship Id="rId93" Type="http://schemas.openxmlformats.org/officeDocument/2006/relationships/hyperlink" Target="https://mapwv.gov/flood/map/?wkid=102100&amp;x=-8977528.805050354&amp;y=4540540.947983512&amp;l=13&amp;v=2" TargetMode="External"/><Relationship Id="rId98" Type="http://schemas.openxmlformats.org/officeDocument/2006/relationships/hyperlink" Target="https://mapwv.gov/flood/map/?wkid=102100&amp;x=-9059247.456394408&amp;y=4520867.046601463&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85A6-6ABA-4059-B4FB-418E24AF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45</cp:revision>
  <cp:lastPrinted>2021-08-06T21:28:00Z</cp:lastPrinted>
  <dcterms:created xsi:type="dcterms:W3CDTF">2021-11-16T17:26:00Z</dcterms:created>
  <dcterms:modified xsi:type="dcterms:W3CDTF">2022-03-08T21:42:00Z</dcterms:modified>
</cp:coreProperties>
</file>