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A033" w14:textId="5619CE76" w:rsidR="00661F09" w:rsidRDefault="00F16F91" w:rsidP="00661F09">
      <w:pPr>
        <w:pStyle w:val="FEMAHeading0-FACTSHEETwithLINE"/>
      </w:pPr>
      <w:r>
        <w:t xml:space="preserve">West Virginia Statewide Risk Assessment: Identify </w:t>
      </w:r>
      <w:r w:rsidR="00AA7E20" w:rsidRPr="00912DC5">
        <w:t>At-Risk Significant Structures</w:t>
      </w:r>
    </w:p>
    <w:p w14:paraId="6C5CE93E" w14:textId="3642E327" w:rsidR="00CB7F52" w:rsidRPr="001803A7" w:rsidRDefault="002016F6" w:rsidP="00CB7F52">
      <w:pPr>
        <w:pStyle w:val="FEMAHeading0Subhead-FACTSHEET"/>
        <w:rPr>
          <w:color w:val="FF0000"/>
        </w:rPr>
      </w:pPr>
      <w:bookmarkStart w:id="0" w:name="_Hlk114236514"/>
      <w:bookmarkStart w:id="1" w:name="_Hlk114065474"/>
      <w:r w:rsidRPr="002016F6">
        <w:t xml:space="preserve">Many communities in West Virginia are updating their hazard mitigation plans (HMPs) to reflect current risks and priorities. These communities now have access to a wealth of detailed information on local flood and landslide risks. The data were produced by the West Virginia Statewide Risk Assessment. This is an ambitious project led by the West Virginia GIS Technical Center (WVGISTC) at West Virginia University. It features building-level risk assessments for flood and landslide hazards across the state. They cover all of the state’s </w:t>
      </w:r>
      <w:bookmarkEnd w:id="0"/>
      <w:r w:rsidR="001803A7" w:rsidRPr="00912DC5">
        <w:t>11 regions, 55 counties, 229 incorporated places, and 55 unincorporated areas.</w:t>
      </w:r>
    </w:p>
    <w:bookmarkEnd w:id="1"/>
    <w:p w14:paraId="436CDD85" w14:textId="77777777" w:rsidR="00CB7F52" w:rsidRPr="002016F6" w:rsidRDefault="00CB7F52" w:rsidP="00CB7F52">
      <w:pPr>
        <w:pStyle w:val="FEMAHeading1"/>
        <w:numPr>
          <w:ilvl w:val="0"/>
          <w:numId w:val="0"/>
        </w:numPr>
      </w:pPr>
      <w:r w:rsidRPr="002016F6">
        <w:t>About This Resource</w:t>
      </w:r>
    </w:p>
    <w:p w14:paraId="09578DE4" w14:textId="6DBDA758" w:rsidR="002016F6" w:rsidRPr="002016F6" w:rsidRDefault="002016F6" w:rsidP="002016F6">
      <w:pPr>
        <w:pStyle w:val="FEMANormal"/>
      </w:pPr>
      <w:bookmarkStart w:id="2" w:name="_Hlk114236585"/>
      <w:r w:rsidRPr="002016F6">
        <w:t>This fact sheet is the second in a series published by FEMA Region 3. The goal is to help mitigation planning teams use the West Virginia Statewide Risk Assessment for plan updates. The three fact sheets should be read in order:</w:t>
      </w:r>
    </w:p>
    <w:p w14:paraId="7EEB0970" w14:textId="77777777" w:rsidR="002016F6" w:rsidRPr="002016F6" w:rsidRDefault="002016F6" w:rsidP="002016F6">
      <w:pPr>
        <w:pStyle w:val="FEMANumbering"/>
        <w:rPr>
          <w:i/>
          <w:iCs/>
        </w:rPr>
      </w:pPr>
      <w:r w:rsidRPr="002016F6">
        <w:rPr>
          <w:i/>
          <w:iCs/>
        </w:rPr>
        <w:t xml:space="preserve">Overview: </w:t>
      </w:r>
      <w:r w:rsidRPr="002016F6">
        <w:t xml:space="preserve">The first fact sheet gives an overview of the Statewide Risk Assessment’s datasets. It explains how planning teams can use the results in each phase of mitigation planning. </w:t>
      </w:r>
    </w:p>
    <w:bookmarkEnd w:id="2"/>
    <w:p w14:paraId="19D614F0" w14:textId="1F087258" w:rsidR="002016F6" w:rsidRPr="00912DC5" w:rsidRDefault="002016F6" w:rsidP="002016F6">
      <w:pPr>
        <w:pStyle w:val="FEMANumbering"/>
        <w:rPr>
          <w:i/>
          <w:iCs/>
        </w:rPr>
      </w:pPr>
      <w:r w:rsidRPr="00912DC5">
        <w:rPr>
          <w:b/>
          <w:bCs/>
          <w:i/>
          <w:iCs/>
        </w:rPr>
        <w:t xml:space="preserve">Identify </w:t>
      </w:r>
      <w:r w:rsidR="003A6A2C" w:rsidRPr="00912DC5">
        <w:rPr>
          <w:b/>
          <w:bCs/>
          <w:i/>
          <w:iCs/>
        </w:rPr>
        <w:t>At-Risk Significant Structures</w:t>
      </w:r>
      <w:r w:rsidRPr="00912DC5">
        <w:rPr>
          <w:b/>
          <w:bCs/>
          <w:i/>
          <w:iCs/>
        </w:rPr>
        <w:t>:</w:t>
      </w:r>
      <w:r w:rsidRPr="00912DC5">
        <w:rPr>
          <w:b/>
          <w:bCs/>
        </w:rPr>
        <w:t xml:space="preserve"> </w:t>
      </w:r>
      <w:r w:rsidRPr="00912DC5">
        <w:t xml:space="preserve">The second fact sheet focuses on analyzing </w:t>
      </w:r>
      <w:r w:rsidR="003A6A2C" w:rsidRPr="00912DC5">
        <w:t xml:space="preserve">exposure, vulnerability, </w:t>
      </w:r>
      <w:r w:rsidRPr="00912DC5">
        <w:t xml:space="preserve">and impacts from flood hazards. It explains how to get the data, extract key information, and add local context. </w:t>
      </w:r>
    </w:p>
    <w:p w14:paraId="7E9648FE" w14:textId="443D763B" w:rsidR="00D92A9D" w:rsidRPr="002016F6" w:rsidRDefault="002016F6" w:rsidP="00CB7F52">
      <w:pPr>
        <w:pStyle w:val="FEMANumbering"/>
        <w:rPr>
          <w:i/>
          <w:iCs/>
        </w:rPr>
      </w:pPr>
      <w:r w:rsidRPr="00912DC5">
        <w:rPr>
          <w:i/>
          <w:iCs/>
        </w:rPr>
        <w:t>Prioritiz</w:t>
      </w:r>
      <w:r w:rsidR="00B02CE7" w:rsidRPr="00912DC5">
        <w:rPr>
          <w:i/>
          <w:iCs/>
        </w:rPr>
        <w:t>e</w:t>
      </w:r>
      <w:r w:rsidRPr="00912DC5">
        <w:rPr>
          <w:i/>
          <w:iCs/>
        </w:rPr>
        <w:t xml:space="preserve"> </w:t>
      </w:r>
      <w:r w:rsidR="003A6A2C" w:rsidRPr="00912DC5">
        <w:rPr>
          <w:i/>
          <w:iCs/>
        </w:rPr>
        <w:t>At-Risk Significant Structures</w:t>
      </w:r>
      <w:r w:rsidRPr="00912DC5">
        <w:rPr>
          <w:i/>
          <w:iCs/>
        </w:rPr>
        <w:t>:</w:t>
      </w:r>
      <w:r w:rsidRPr="00912DC5">
        <w:t xml:space="preserve"> </w:t>
      </w:r>
      <w:bookmarkStart w:id="3" w:name="_Hlk161929983"/>
      <w:r w:rsidRPr="00912DC5">
        <w:t xml:space="preserve">The third fact sheet focuses on summarizing </w:t>
      </w:r>
      <w:r w:rsidR="00E578BC" w:rsidRPr="00912DC5">
        <w:t xml:space="preserve">exposure and </w:t>
      </w:r>
      <w:r w:rsidRPr="00912DC5">
        <w:t>v</w:t>
      </w:r>
      <w:r w:rsidRPr="002416DB">
        <w:t xml:space="preserve">ulnerability from flood hazards. </w:t>
      </w:r>
      <w:r>
        <w:t>It explains how to</w:t>
      </w:r>
      <w:r w:rsidRPr="002416DB">
        <w:t xml:space="preserve"> tap into local values to set priorities and create problem statements</w:t>
      </w:r>
      <w:r w:rsidR="00E737B1">
        <w:t>.</w:t>
      </w:r>
    </w:p>
    <w:bookmarkEnd w:id="3"/>
    <w:p w14:paraId="3BD91CCD" w14:textId="42D7B1F4" w:rsidR="00661F09" w:rsidRDefault="00661F09" w:rsidP="00F53AD8">
      <w:pPr>
        <w:pStyle w:val="FEMABoxedTitle"/>
      </w:pPr>
      <w:r>
        <w:t xml:space="preserve">About the </w:t>
      </w:r>
      <w:r w:rsidR="00737D5D">
        <w:t>West Virginia Statewide Risk Assessment</w:t>
      </w:r>
    </w:p>
    <w:p w14:paraId="5693AE87" w14:textId="4AD32305" w:rsidR="002016F6" w:rsidRPr="002016F6" w:rsidRDefault="002016F6" w:rsidP="002016F6">
      <w:pPr>
        <w:pStyle w:val="FEMABoxedText"/>
      </w:pPr>
      <w:bookmarkStart w:id="4" w:name="_Hlk114236651"/>
      <w:bookmarkStart w:id="5" w:name="_Hlk114170334"/>
      <w:r w:rsidRPr="002016F6">
        <w:t xml:space="preserve">The WVGISTC developed this </w:t>
      </w:r>
      <w:r>
        <w:t>project</w:t>
      </w:r>
      <w:r w:rsidRPr="002016F6">
        <w:t xml:space="preserve"> with support from FEMA and the </w:t>
      </w:r>
      <w:r>
        <w:t>state</w:t>
      </w:r>
      <w:r w:rsidRPr="002016F6">
        <w:t xml:space="preserve"> Emergency Management Division. </w:t>
      </w:r>
      <w:r>
        <w:t>It aims</w:t>
      </w:r>
      <w:r w:rsidRPr="002016F6">
        <w:t xml:space="preserve"> to help planning teams understand local disaster risks in more detail and create more effective solutions. </w:t>
      </w:r>
      <w:r>
        <w:t>The project</w:t>
      </w:r>
      <w:r w:rsidRPr="002016F6">
        <w:t xml:space="preserve"> focuses on floods and landslides. These are the two costliest natural disasters in the state. </w:t>
      </w:r>
    </w:p>
    <w:p w14:paraId="1534A727" w14:textId="62721A41" w:rsidR="006F0DAC" w:rsidRPr="006F0DAC" w:rsidRDefault="002016F6" w:rsidP="002016F6">
      <w:pPr>
        <w:pStyle w:val="FEMABoxedText"/>
        <w:rPr>
          <w:i/>
          <w:iCs/>
        </w:rPr>
      </w:pPr>
      <w:r w:rsidRPr="002016F6">
        <w:t>The Statewide Risk Assessment includes the following information</w:t>
      </w:r>
      <w:r>
        <w:t>:</w:t>
      </w:r>
      <w:r w:rsidRPr="002016F6">
        <w:t xml:space="preserve"> 1) </w:t>
      </w:r>
      <w:r>
        <w:t>a</w:t>
      </w:r>
      <w:r w:rsidRPr="002016F6">
        <w:t xml:space="preserve"> full inventory of the buildings in the state; 2) detailed, building-level flood risk assessments; and 3) detailed, building-level landslide risk assessments. The flood risk assessments are known as Total Exposure in Floodplain (TEIF). The landslide risk assessments are known as Total Exposure Area Landslide (TEAL). These results are provided in a range of formats</w:t>
      </w:r>
      <w:r>
        <w:t>, including</w:t>
      </w:r>
      <w:r w:rsidRPr="002016F6">
        <w:t xml:space="preserve"> spreadsheets, reports, maps, GIS files, and interactive map viewers. Plan owners and planning consultants can access the results online. They can also ask the WVGISTC for a customized data package</w:t>
      </w:r>
      <w:bookmarkEnd w:id="4"/>
      <w:r w:rsidR="00CB7F52" w:rsidRPr="002016F6">
        <w:t>.</w:t>
      </w:r>
    </w:p>
    <w:p w14:paraId="6ECEC13D" w14:textId="08DBE76C" w:rsidR="00301E24" w:rsidRDefault="004767E1" w:rsidP="00301E24">
      <w:pPr>
        <w:pStyle w:val="FEMAHeading1"/>
        <w:numPr>
          <w:ilvl w:val="0"/>
          <w:numId w:val="0"/>
        </w:numPr>
      </w:pPr>
      <w:bookmarkStart w:id="6" w:name="_Hlk114170686"/>
      <w:bookmarkEnd w:id="5"/>
      <w:r>
        <w:lastRenderedPageBreak/>
        <w:t xml:space="preserve">Step 1: </w:t>
      </w:r>
      <w:r w:rsidR="00DE0D9F">
        <w:t>Get</w:t>
      </w:r>
      <w:r w:rsidR="00301E24">
        <w:t xml:space="preserve"> </w:t>
      </w:r>
      <w:r w:rsidR="003053B9">
        <w:t xml:space="preserve">the </w:t>
      </w:r>
      <w:r w:rsidR="00301E24">
        <w:t>Data</w:t>
      </w:r>
    </w:p>
    <w:bookmarkEnd w:id="6"/>
    <w:p w14:paraId="41442FC8" w14:textId="1867BD40" w:rsidR="009167AF" w:rsidRDefault="009167AF" w:rsidP="009167AF">
      <w:pPr>
        <w:pStyle w:val="FEMANormal"/>
      </w:pPr>
      <w:r>
        <w:t>The WVGISTC’s building-level flood risk assessments give planning teams in West Virginia the opportunity to exceed the minimum requirements fo</w:t>
      </w:r>
      <w:r w:rsidRPr="00912DC5">
        <w:t xml:space="preserve">r plan updates. Planning teams can use the data to discuss flood risk at the structure level. They can use it to consider </w:t>
      </w:r>
      <w:r w:rsidRPr="00912DC5">
        <w:rPr>
          <w:i/>
          <w:iCs/>
        </w:rPr>
        <w:t>why</w:t>
      </w:r>
      <w:r w:rsidRPr="00912DC5">
        <w:t xml:space="preserve"> a </w:t>
      </w:r>
      <w:r w:rsidR="0098432D" w:rsidRPr="00912DC5">
        <w:t>significant structure</w:t>
      </w:r>
      <w:r w:rsidRPr="00912DC5">
        <w:t xml:space="preserve"> </w:t>
      </w:r>
      <w:r w:rsidR="005E7757" w:rsidRPr="00912DC5">
        <w:t xml:space="preserve">(community asset or essential facility) </w:t>
      </w:r>
      <w:r w:rsidRPr="00912DC5">
        <w:t xml:space="preserve">is at risk to flooding and the </w:t>
      </w:r>
      <w:r w:rsidRPr="00912DC5">
        <w:rPr>
          <w:i/>
          <w:iCs/>
        </w:rPr>
        <w:t>value</w:t>
      </w:r>
      <w:r w:rsidRPr="00912DC5">
        <w:t xml:space="preserve"> it brings to the community. The first step is to get the data for the planning area. Plan owners and their consultants can access the data online, or ask the WVGISTC for a data package. </w:t>
      </w:r>
    </w:p>
    <w:p w14:paraId="6DBE2280" w14:textId="47BAEFF7" w:rsidR="00B20A9A" w:rsidRDefault="009167AF" w:rsidP="00B20A9A">
      <w:pPr>
        <w:pStyle w:val="FEMABoxedTitle"/>
      </w:pPr>
      <w:r w:rsidRPr="009167AF">
        <w:t>Acces</w:t>
      </w:r>
      <w:r w:rsidRPr="00912DC5">
        <w:t xml:space="preserve">s </w:t>
      </w:r>
      <w:r w:rsidR="008079D3" w:rsidRPr="00912DC5">
        <w:t>significant structure</w:t>
      </w:r>
      <w:r w:rsidRPr="00912DC5">
        <w:t xml:space="preserve"> da</w:t>
      </w:r>
      <w:r w:rsidRPr="009167AF">
        <w:t>ta at:</w:t>
      </w:r>
    </w:p>
    <w:p w14:paraId="47C49539" w14:textId="2FCDE497" w:rsidR="00B20A9A" w:rsidRDefault="00B20A9A" w:rsidP="0020789C">
      <w:pPr>
        <w:pStyle w:val="FEMABullet-1"/>
      </w:pPr>
      <w:r w:rsidRPr="0020789C">
        <w:rPr>
          <w:b/>
          <w:bCs/>
        </w:rPr>
        <w:t>Building-Level Risk Assessment Tables:</w:t>
      </w:r>
      <w:r>
        <w:t xml:space="preserve"> </w:t>
      </w:r>
      <w:hyperlink r:id="rId11" w:history="1">
        <w:r w:rsidR="0020789C" w:rsidRPr="00D07FCC">
          <w:rPr>
            <w:rStyle w:val="Hyperlink"/>
          </w:rPr>
          <w:t>https://data.wvgis.wvu.edu/pub/RA/State/BL/BLRA/</w:t>
        </w:r>
      </w:hyperlink>
      <w:r w:rsidR="0020789C">
        <w:t xml:space="preserve"> </w:t>
      </w:r>
    </w:p>
    <w:p w14:paraId="6CAA8587" w14:textId="77777777" w:rsidR="009167AF" w:rsidRPr="0020789C" w:rsidRDefault="009167AF" w:rsidP="009167AF">
      <w:pPr>
        <w:pStyle w:val="FEMANormalIndented"/>
      </w:pPr>
      <w:r w:rsidRPr="0020789C">
        <w:t>These</w:t>
      </w:r>
      <w:r>
        <w:t xml:space="preserve"> are</w:t>
      </w:r>
      <w:r w:rsidRPr="0020789C">
        <w:t xml:space="preserve"> countywide spreadsheets</w:t>
      </w:r>
      <w:r>
        <w:t>. They</w:t>
      </w:r>
      <w:r w:rsidRPr="0020789C">
        <w:t xml:space="preserve"> list each building in the effective or advisory 1%-annual-chance floodplain. Advisory 1%-annual-chance floodplains are non-regulatory high-risk flood zones that </w:t>
      </w:r>
      <w:r>
        <w:t>are</w:t>
      </w:r>
      <w:r w:rsidRPr="0020789C">
        <w:t xml:space="preserve"> likely </w:t>
      </w:r>
      <w:r>
        <w:t xml:space="preserve">to </w:t>
      </w:r>
      <w:r w:rsidRPr="0020789C">
        <w:t>become effective in the future.</w:t>
      </w:r>
    </w:p>
    <w:p w14:paraId="2E11D90F" w14:textId="5196DCF8" w:rsidR="003053B9" w:rsidRDefault="0020789C" w:rsidP="0020789C">
      <w:pPr>
        <w:pStyle w:val="FEMABullet-1"/>
        <w:rPr>
          <w:b/>
          <w:bCs/>
        </w:rPr>
      </w:pPr>
      <w:r>
        <w:rPr>
          <w:b/>
          <w:bCs/>
        </w:rPr>
        <w:t xml:space="preserve">Essential Facilities Table: </w:t>
      </w:r>
      <w:hyperlink r:id="rId12" w:history="1">
        <w:r w:rsidRPr="00D07FCC">
          <w:rPr>
            <w:rStyle w:val="Hyperlink"/>
          </w:rPr>
          <w:t>https://data.wvgis.wvu.edu/pub/RA/State/BL/EssentialFacility/</w:t>
        </w:r>
      </w:hyperlink>
      <w:r>
        <w:t xml:space="preserve"> </w:t>
      </w:r>
    </w:p>
    <w:p w14:paraId="76FA405C" w14:textId="6741CEFA" w:rsidR="009167AF" w:rsidRPr="009167AF" w:rsidRDefault="009167AF" w:rsidP="009167AF">
      <w:pPr>
        <w:pStyle w:val="FEMANormalIndented"/>
        <w:rPr>
          <w:b/>
          <w:bCs/>
        </w:rPr>
      </w:pPr>
      <w:r w:rsidRPr="009167AF">
        <w:t>This is a statewide spreadsheet. It lists all essential facilities in the effective or advisory 1%-annual-chance floodplai</w:t>
      </w:r>
      <w:r w:rsidRPr="00912DC5">
        <w:t>n</w:t>
      </w:r>
      <w:r w:rsidR="00A70DF5" w:rsidRPr="00912DC5">
        <w:t xml:space="preserve"> as well as the 0.2%-annual-chance floodplain</w:t>
      </w:r>
      <w:r w:rsidRPr="00912DC5">
        <w:t>. The WVGISTC defines essential facilities as those that provide critical services to the community. They include police and fire stations, emergency operations centers, schools, hospitals, and nursing homes.</w:t>
      </w:r>
    </w:p>
    <w:p w14:paraId="1AD4A824" w14:textId="38C19EEA" w:rsidR="0020789C" w:rsidRDefault="0020789C" w:rsidP="0020789C">
      <w:pPr>
        <w:pStyle w:val="FEMABullet-1"/>
        <w:rPr>
          <w:b/>
          <w:bCs/>
        </w:rPr>
      </w:pPr>
      <w:r>
        <w:rPr>
          <w:b/>
          <w:bCs/>
        </w:rPr>
        <w:t xml:space="preserve">Community Assets Table: </w:t>
      </w:r>
      <w:hyperlink r:id="rId13" w:history="1">
        <w:r w:rsidRPr="00D07FCC">
          <w:rPr>
            <w:rStyle w:val="Hyperlink"/>
          </w:rPr>
          <w:t>https://data.wvgis.wvu.edu/pub/RA/State/BL/CommunityAsset/</w:t>
        </w:r>
      </w:hyperlink>
      <w:r>
        <w:t xml:space="preserve"> </w:t>
      </w:r>
    </w:p>
    <w:p w14:paraId="551E75C9" w14:textId="78EA07FC" w:rsidR="0020789C" w:rsidRDefault="009167AF" w:rsidP="0020789C">
      <w:pPr>
        <w:pStyle w:val="FEMANormalIndented"/>
      </w:pPr>
      <w:r w:rsidRPr="009167AF">
        <w:t>This is also a statewide spreadsheet. It lists a</w:t>
      </w:r>
      <w:r w:rsidRPr="00912DC5">
        <w:t xml:space="preserve">ll </w:t>
      </w:r>
      <w:r w:rsidR="00631BAF" w:rsidRPr="00912DC5">
        <w:t xml:space="preserve">non-historical </w:t>
      </w:r>
      <w:r w:rsidRPr="00912DC5">
        <w:t xml:space="preserve">community assets in the effective or advisory 1%-annual-chance floodplain. These may be government facilities (federal, state, local), emergency medical services, religious organizations, utilities, post-secondary educational facilities, and other buildings of significance. </w:t>
      </w:r>
      <w:r w:rsidR="00631BAF" w:rsidRPr="00912DC5">
        <w:t xml:space="preserve">It also </w:t>
      </w:r>
      <w:r w:rsidRPr="00912DC5">
        <w:t>include</w:t>
      </w:r>
      <w:r w:rsidR="00631BAF" w:rsidRPr="00912DC5">
        <w:t>s</w:t>
      </w:r>
      <w:r w:rsidRPr="00912DC5">
        <w:t xml:space="preserve"> </w:t>
      </w:r>
      <w:r w:rsidR="00631BAF" w:rsidRPr="00912DC5">
        <w:t xml:space="preserve">historical </w:t>
      </w:r>
      <w:r w:rsidRPr="00912DC5">
        <w:t>structures listed on the National Register of Historic Places</w:t>
      </w:r>
      <w:r w:rsidR="000021BD" w:rsidRPr="00912DC5">
        <w:t xml:space="preserve"> </w:t>
      </w:r>
      <w:r w:rsidR="00CA346B" w:rsidRPr="00912DC5">
        <w:t>to include</w:t>
      </w:r>
      <w:r w:rsidR="000021BD" w:rsidRPr="00912DC5">
        <w:t xml:space="preserve"> buildings constructed before 1930 in </w:t>
      </w:r>
      <w:r w:rsidR="00733F47" w:rsidRPr="00912DC5">
        <w:t xml:space="preserve">the </w:t>
      </w:r>
      <w:r w:rsidR="000021BD" w:rsidRPr="00912DC5">
        <w:t>registered historic districts.</w:t>
      </w:r>
    </w:p>
    <w:p w14:paraId="35D3FFA3" w14:textId="3FC7B12F" w:rsidR="00301E24" w:rsidRDefault="004767E1" w:rsidP="00301E24">
      <w:pPr>
        <w:pStyle w:val="FEMAHeading1"/>
        <w:numPr>
          <w:ilvl w:val="0"/>
          <w:numId w:val="0"/>
        </w:numPr>
      </w:pPr>
      <w:r>
        <w:t xml:space="preserve">Step 2: </w:t>
      </w:r>
      <w:r w:rsidR="00301E24">
        <w:t>Extract Key Information</w:t>
      </w:r>
    </w:p>
    <w:p w14:paraId="1D820278" w14:textId="632720DA" w:rsidR="009D11AA" w:rsidRDefault="009167AF" w:rsidP="003C1CF7">
      <w:pPr>
        <w:pStyle w:val="FEMANormal"/>
      </w:pPr>
      <w:r w:rsidRPr="009167AF">
        <w:t>The WVGISTC produces a wealth of data. The second step for planning teams is to extract the information they need. There are many ways to do this. One way is to begin with the Building-Level Risk Assessment tables. Select the ones for the counties in the planning area. These tables include a large amount of information on the buildings in the 1%-annual-chance floo</w:t>
      </w:r>
      <w:r w:rsidRPr="00912DC5">
        <w:t xml:space="preserve">dplain. There are 16 data </w:t>
      </w:r>
      <w:r w:rsidR="008875A3" w:rsidRPr="00912DC5">
        <w:t>fields</w:t>
      </w:r>
      <w:r w:rsidRPr="00912DC5">
        <w:t xml:space="preserve"> related to each building’s </w:t>
      </w:r>
      <w:r w:rsidR="00D167C5" w:rsidRPr="00912DC5">
        <w:t xml:space="preserve">identification and </w:t>
      </w:r>
      <w:r w:rsidRPr="00912DC5">
        <w:t xml:space="preserve">location and 11 related to its flood zone. More than 20 data </w:t>
      </w:r>
      <w:r w:rsidR="008875A3" w:rsidRPr="00912DC5">
        <w:t>fields</w:t>
      </w:r>
      <w:r w:rsidRPr="00912DC5">
        <w:t xml:space="preserve"> relate to each building’s characteristics (what is at risk), and more than 20 others relate to its estimated flood losses (the degree of risk). The “MetaData” tab describes all the available data </w:t>
      </w:r>
      <w:r w:rsidR="008875A3" w:rsidRPr="00912DC5">
        <w:t>fields</w:t>
      </w:r>
      <w:r w:rsidRPr="00912DC5">
        <w:t xml:space="preserve"> in more depth. To make sense of all this data, planning teams will have to focus on the elements they need. What types of </w:t>
      </w:r>
      <w:r w:rsidR="00F363A4" w:rsidRPr="00912DC5">
        <w:t>significant structures</w:t>
      </w:r>
      <w:r w:rsidRPr="00912DC5">
        <w:t xml:space="preserve"> are they most interested in? What flood zone information do they find most relevant? What loss estimates are most important</w:t>
      </w:r>
      <w:r w:rsidR="008875A3" w:rsidRPr="00912DC5">
        <w:t>?</w:t>
      </w:r>
    </w:p>
    <w:p w14:paraId="254D821E" w14:textId="2B29123B" w:rsidR="0090632C" w:rsidRDefault="0090632C" w:rsidP="0090632C">
      <w:pPr>
        <w:pStyle w:val="FEMAHeading2"/>
      </w:pPr>
      <w:r>
        <w:lastRenderedPageBreak/>
        <w:t xml:space="preserve">Which </w:t>
      </w:r>
      <w:r w:rsidR="00F363A4" w:rsidRPr="00912DC5">
        <w:t>Significant Structures</w:t>
      </w:r>
      <w:r>
        <w:t xml:space="preserve"> are At Risk?</w:t>
      </w:r>
    </w:p>
    <w:p w14:paraId="4E7FB240" w14:textId="52646BE9" w:rsidR="00B0190F" w:rsidRPr="00912DC5" w:rsidRDefault="000D4961" w:rsidP="003C1CF7">
      <w:pPr>
        <w:pStyle w:val="FEMANormal"/>
      </w:pPr>
      <w:r>
        <w:t xml:space="preserve">The data points in </w:t>
      </w:r>
      <w:r>
        <w:fldChar w:fldCharType="begin"/>
      </w:r>
      <w:r>
        <w:instrText xml:space="preserve"> REF _Ref114147743 \h </w:instrText>
      </w:r>
      <w:r>
        <w:fldChar w:fldCharType="separate"/>
      </w:r>
      <w:r>
        <w:t xml:space="preserve">Table </w:t>
      </w:r>
      <w:r>
        <w:rPr>
          <w:noProof/>
        </w:rPr>
        <w:t>1</w:t>
      </w:r>
      <w:r>
        <w:fldChar w:fldCharType="end"/>
      </w:r>
      <w:r>
        <w:t xml:space="preserve"> can help planning teams narrow down the list of buildings, based on each one’s function. They can help answer the question “w</w:t>
      </w:r>
      <w:r w:rsidRPr="00912DC5">
        <w:t xml:space="preserve">hich </w:t>
      </w:r>
      <w:r w:rsidR="00F363A4" w:rsidRPr="00912DC5">
        <w:t>significant structures</w:t>
      </w:r>
      <w:r w:rsidRPr="00912DC5">
        <w:t xml:space="preserve"> are at risk” from riverine flooding. Planning teams can use the “Filter” tool in Excel to show only the </w:t>
      </w:r>
      <w:r w:rsidR="00F363A4" w:rsidRPr="00912DC5">
        <w:t>significant structures</w:t>
      </w:r>
      <w:r w:rsidRPr="00912DC5">
        <w:t xml:space="preserve"> that they are most interested in. They can then copy the filtered data to a new tab in the spreadsheet</w:t>
      </w:r>
      <w:r w:rsidR="000B0EBC" w:rsidRPr="00912DC5">
        <w:t>.</w:t>
      </w:r>
    </w:p>
    <w:p w14:paraId="4D6EAA56" w14:textId="4FEB274F" w:rsidR="005728AB" w:rsidRPr="00912DC5" w:rsidRDefault="005728AB" w:rsidP="005728AB">
      <w:pPr>
        <w:pStyle w:val="FEMATableCaption"/>
      </w:pPr>
      <w:bookmarkStart w:id="7" w:name="_Ref114147743"/>
      <w:r w:rsidRPr="00912DC5">
        <w:t xml:space="preserve">Table </w:t>
      </w:r>
      <w:fldSimple w:instr=" SEQ Table \* ARABIC ">
        <w:r w:rsidR="001361E8" w:rsidRPr="00912DC5">
          <w:rPr>
            <w:noProof/>
          </w:rPr>
          <w:t>1</w:t>
        </w:r>
      </w:fldSimple>
      <w:bookmarkEnd w:id="7"/>
      <w:r w:rsidRPr="00912DC5">
        <w:t xml:space="preserve">: Which </w:t>
      </w:r>
      <w:r w:rsidR="00F363A4" w:rsidRPr="00912DC5">
        <w:t>significant structures</w:t>
      </w:r>
      <w:r w:rsidRPr="00912DC5">
        <w:t xml:space="preserve"> are at risk? </w:t>
      </w:r>
    </w:p>
    <w:tbl>
      <w:tblPr>
        <w:tblStyle w:val="FEMATable1-DHSGray"/>
        <w:tblW w:w="5001" w:type="pct"/>
        <w:tblInd w:w="12" w:type="dxa"/>
        <w:tblLook w:val="04A0" w:firstRow="1" w:lastRow="0" w:firstColumn="1" w:lastColumn="0" w:noHBand="0" w:noVBand="1"/>
      </w:tblPr>
      <w:tblGrid>
        <w:gridCol w:w="1007"/>
        <w:gridCol w:w="2591"/>
        <w:gridCol w:w="7194"/>
      </w:tblGrid>
      <w:tr w:rsidR="00EE06FC" w:rsidRPr="00525E90" w14:paraId="7A37D95B" w14:textId="77777777" w:rsidTr="000D4961">
        <w:trPr>
          <w:cnfStyle w:val="100000000000" w:firstRow="1" w:lastRow="0" w:firstColumn="0" w:lastColumn="0" w:oddVBand="0" w:evenVBand="0" w:oddHBand="0" w:evenHBand="0" w:firstRowFirstColumn="0" w:firstRowLastColumn="0" w:lastRowFirstColumn="0" w:lastRowLastColumn="0"/>
        </w:trPr>
        <w:tc>
          <w:tcPr>
            <w:tcW w:w="1007" w:type="dxa"/>
          </w:tcPr>
          <w:p w14:paraId="2E4BD93E" w14:textId="72AA6711" w:rsidR="00EE06FC" w:rsidRPr="00525E90" w:rsidRDefault="00EE06FC" w:rsidP="003B194D">
            <w:pPr>
              <w:pStyle w:val="FEMATableHeading"/>
            </w:pPr>
            <w:r>
              <w:t>Column</w:t>
            </w:r>
          </w:p>
        </w:tc>
        <w:tc>
          <w:tcPr>
            <w:tcW w:w="2591" w:type="dxa"/>
          </w:tcPr>
          <w:p w14:paraId="0B16E680" w14:textId="3CCEFF9A" w:rsidR="00EE06FC" w:rsidRPr="00904852" w:rsidRDefault="00EE06FC" w:rsidP="003B194D">
            <w:pPr>
              <w:pStyle w:val="FEMATableHeading"/>
            </w:pPr>
            <w:r>
              <w:t>Data Point</w:t>
            </w:r>
          </w:p>
        </w:tc>
        <w:tc>
          <w:tcPr>
            <w:tcW w:w="7194" w:type="dxa"/>
          </w:tcPr>
          <w:p w14:paraId="2ED9F279" w14:textId="08B609B4" w:rsidR="00EE06FC" w:rsidRPr="00525E90" w:rsidRDefault="00004F6D" w:rsidP="003B194D">
            <w:pPr>
              <w:pStyle w:val="FEMATableHeading"/>
            </w:pPr>
            <w:r>
              <w:t>How to Use the Data Point</w:t>
            </w:r>
          </w:p>
        </w:tc>
      </w:tr>
      <w:tr w:rsidR="0002448E" w:rsidRPr="00525E90" w14:paraId="7A5EDF62" w14:textId="77777777" w:rsidTr="000D4961">
        <w:tc>
          <w:tcPr>
            <w:tcW w:w="1007" w:type="dxa"/>
          </w:tcPr>
          <w:p w14:paraId="68AD93AE" w14:textId="24AC9A87" w:rsidR="0002448E" w:rsidRPr="00EE06FC" w:rsidRDefault="0002448E" w:rsidP="003B194D">
            <w:pPr>
              <w:pStyle w:val="FEMATableText"/>
              <w:spacing w:before="96" w:after="96"/>
            </w:pPr>
            <w:r>
              <w:t>F</w:t>
            </w:r>
          </w:p>
        </w:tc>
        <w:tc>
          <w:tcPr>
            <w:tcW w:w="2591" w:type="dxa"/>
          </w:tcPr>
          <w:p w14:paraId="660760DC" w14:textId="7059B1A2" w:rsidR="0002448E" w:rsidRDefault="0002448E" w:rsidP="003B194D">
            <w:pPr>
              <w:pStyle w:val="FEMATableText"/>
              <w:spacing w:before="96" w:after="96"/>
            </w:pPr>
            <w:r>
              <w:t>Full E-911 Address</w:t>
            </w:r>
          </w:p>
        </w:tc>
        <w:tc>
          <w:tcPr>
            <w:tcW w:w="7194" w:type="dxa"/>
          </w:tcPr>
          <w:p w14:paraId="441BD248" w14:textId="2FE182DD" w:rsidR="0002448E" w:rsidRDefault="000D4961" w:rsidP="003B194D">
            <w:pPr>
              <w:pStyle w:val="FEMATableText"/>
              <w:spacing w:before="96" w:after="96"/>
            </w:pPr>
            <w:r>
              <w:t>This column can be used to orient community representatives to the structures in the spreadsheet.</w:t>
            </w:r>
          </w:p>
        </w:tc>
      </w:tr>
      <w:tr w:rsidR="00EE06FC" w:rsidRPr="00525E90" w14:paraId="387416ED" w14:textId="77777777" w:rsidTr="000D4961">
        <w:tc>
          <w:tcPr>
            <w:tcW w:w="1007" w:type="dxa"/>
          </w:tcPr>
          <w:p w14:paraId="4B9A6A40" w14:textId="6C309235" w:rsidR="00EE06FC" w:rsidRPr="00EE06FC" w:rsidRDefault="00EE06FC" w:rsidP="003B194D">
            <w:pPr>
              <w:pStyle w:val="FEMATableText"/>
              <w:spacing w:before="96" w:after="96"/>
            </w:pPr>
            <w:r w:rsidRPr="00EE06FC">
              <w:t>L</w:t>
            </w:r>
          </w:p>
        </w:tc>
        <w:tc>
          <w:tcPr>
            <w:tcW w:w="2591" w:type="dxa"/>
          </w:tcPr>
          <w:p w14:paraId="68B912B2" w14:textId="133AC18D" w:rsidR="00EE06FC" w:rsidRPr="0014036C" w:rsidRDefault="00EE06FC" w:rsidP="003B194D">
            <w:pPr>
              <w:pStyle w:val="FEMATableText"/>
              <w:spacing w:before="96" w:after="96"/>
            </w:pPr>
            <w:r>
              <w:t>Community Name</w:t>
            </w:r>
          </w:p>
        </w:tc>
        <w:tc>
          <w:tcPr>
            <w:tcW w:w="7194" w:type="dxa"/>
          </w:tcPr>
          <w:p w14:paraId="7DEAEC31" w14:textId="5B08E14F" w:rsidR="00EE06FC" w:rsidRPr="00525E90" w:rsidRDefault="000D4961" w:rsidP="003B194D">
            <w:pPr>
              <w:pStyle w:val="FEMATableText"/>
              <w:spacing w:before="96" w:after="96"/>
            </w:pPr>
            <w:r>
              <w:t>Filter this column to see the communities of interest.</w:t>
            </w:r>
          </w:p>
        </w:tc>
      </w:tr>
      <w:tr w:rsidR="000D4961" w:rsidRPr="00525E90" w14:paraId="7E4E46DB" w14:textId="77777777" w:rsidTr="000D4961">
        <w:tc>
          <w:tcPr>
            <w:tcW w:w="1007" w:type="dxa"/>
          </w:tcPr>
          <w:p w14:paraId="1BC6A958" w14:textId="78E3778B" w:rsidR="000D4961" w:rsidRPr="00EE06FC" w:rsidRDefault="000D4961" w:rsidP="000D4961">
            <w:pPr>
              <w:pStyle w:val="FEMATableText"/>
              <w:spacing w:before="96" w:after="96"/>
            </w:pPr>
            <w:r>
              <w:t>AA</w:t>
            </w:r>
          </w:p>
        </w:tc>
        <w:tc>
          <w:tcPr>
            <w:tcW w:w="2591" w:type="dxa"/>
          </w:tcPr>
          <w:p w14:paraId="2F5B5CAD" w14:textId="2DA4C761" w:rsidR="000D4961" w:rsidRDefault="000D4961" w:rsidP="000D4961">
            <w:pPr>
              <w:pStyle w:val="FEMATableText"/>
              <w:spacing w:before="96" w:after="96"/>
            </w:pPr>
            <w:r>
              <w:t>Owner Name</w:t>
            </w:r>
          </w:p>
        </w:tc>
        <w:tc>
          <w:tcPr>
            <w:tcW w:w="7194" w:type="dxa"/>
          </w:tcPr>
          <w:p w14:paraId="5EFF2C2B" w14:textId="714209BF" w:rsidR="000D4961" w:rsidRDefault="000D4961" w:rsidP="000D4961">
            <w:pPr>
              <w:pStyle w:val="FEMATableText"/>
              <w:spacing w:before="96" w:after="96"/>
            </w:pPr>
            <w:r>
              <w:t>This column can be used to orient community representatives to the structures in the spreadsheet.</w:t>
            </w:r>
          </w:p>
        </w:tc>
      </w:tr>
      <w:tr w:rsidR="000D4961" w:rsidRPr="00525E90" w14:paraId="00E4982F" w14:textId="77777777" w:rsidTr="000D4961">
        <w:tc>
          <w:tcPr>
            <w:tcW w:w="1007" w:type="dxa"/>
          </w:tcPr>
          <w:p w14:paraId="0CDE7A50" w14:textId="6494EB3F" w:rsidR="000D4961" w:rsidRPr="00EE06FC" w:rsidRDefault="000D4961" w:rsidP="000D4961">
            <w:pPr>
              <w:pStyle w:val="FEMATableText"/>
              <w:spacing w:before="96" w:after="96"/>
            </w:pPr>
            <w:r w:rsidRPr="00EE06FC">
              <w:t>AE</w:t>
            </w:r>
          </w:p>
        </w:tc>
        <w:tc>
          <w:tcPr>
            <w:tcW w:w="2591" w:type="dxa"/>
          </w:tcPr>
          <w:p w14:paraId="5F05FD16" w14:textId="4F3A00EA" w:rsidR="000D4961" w:rsidRPr="0014036C" w:rsidRDefault="000D4961" w:rsidP="000D4961">
            <w:pPr>
              <w:pStyle w:val="FEMATableText"/>
              <w:spacing w:before="96" w:after="96"/>
            </w:pPr>
            <w:r>
              <w:t>Property Class Description</w:t>
            </w:r>
          </w:p>
        </w:tc>
        <w:tc>
          <w:tcPr>
            <w:tcW w:w="7194" w:type="dxa"/>
          </w:tcPr>
          <w:p w14:paraId="4E071605" w14:textId="6107E554" w:rsidR="000D4961" w:rsidRPr="00525E90" w:rsidRDefault="000D4961" w:rsidP="000D4961">
            <w:pPr>
              <w:pStyle w:val="FEMATableText"/>
              <w:spacing w:before="96" w:after="96"/>
            </w:pPr>
            <w:r>
              <w:t>This column can be used with the General Occupancy Code to remove residential properties. Use the “Filter” tool and unselect “Residential.”</w:t>
            </w:r>
          </w:p>
        </w:tc>
      </w:tr>
      <w:tr w:rsidR="000D4961" w:rsidRPr="00525E90" w14:paraId="7D81F930" w14:textId="77777777" w:rsidTr="000D4961">
        <w:tc>
          <w:tcPr>
            <w:tcW w:w="1007" w:type="dxa"/>
          </w:tcPr>
          <w:p w14:paraId="26AA2D57" w14:textId="349A002A" w:rsidR="000D4961" w:rsidRPr="00EE06FC" w:rsidRDefault="000D4961" w:rsidP="000D4961">
            <w:pPr>
              <w:pStyle w:val="FEMATableText"/>
              <w:spacing w:before="96" w:after="96"/>
            </w:pPr>
            <w:r w:rsidRPr="00EE06FC">
              <w:t>A</w:t>
            </w:r>
            <w:r>
              <w:t>H</w:t>
            </w:r>
          </w:p>
        </w:tc>
        <w:tc>
          <w:tcPr>
            <w:tcW w:w="2591" w:type="dxa"/>
          </w:tcPr>
          <w:p w14:paraId="699A3925" w14:textId="1AC95372" w:rsidR="000D4961" w:rsidRPr="0014036C" w:rsidRDefault="000D4961" w:rsidP="000D4961">
            <w:pPr>
              <w:pStyle w:val="FEMATableText"/>
              <w:spacing w:before="96" w:after="96"/>
            </w:pPr>
            <w:r>
              <w:t>Land Use Description</w:t>
            </w:r>
          </w:p>
        </w:tc>
        <w:tc>
          <w:tcPr>
            <w:tcW w:w="7194" w:type="dxa"/>
          </w:tcPr>
          <w:p w14:paraId="5C8F38C6" w14:textId="29E0E716" w:rsidR="000D4961" w:rsidRPr="00525E90" w:rsidRDefault="000D4961" w:rsidP="000D4961">
            <w:pPr>
              <w:pStyle w:val="FEMATableText"/>
              <w:spacing w:before="96" w:after="96"/>
            </w:pPr>
            <w:r>
              <w:t>This column can be used to find a building’s function.</w:t>
            </w:r>
          </w:p>
        </w:tc>
      </w:tr>
      <w:tr w:rsidR="000D4961" w:rsidRPr="00525E90" w14:paraId="5C1E0E92" w14:textId="77777777" w:rsidTr="000D4961">
        <w:tc>
          <w:tcPr>
            <w:tcW w:w="1007" w:type="dxa"/>
          </w:tcPr>
          <w:p w14:paraId="64AB6873" w14:textId="575319CF" w:rsidR="000D4961" w:rsidRPr="00EE06FC" w:rsidRDefault="000D4961" w:rsidP="000D4961">
            <w:pPr>
              <w:pStyle w:val="FEMATableText"/>
              <w:spacing w:before="96" w:after="96"/>
            </w:pPr>
            <w:r w:rsidRPr="00EE06FC">
              <w:t>AJ</w:t>
            </w:r>
          </w:p>
        </w:tc>
        <w:tc>
          <w:tcPr>
            <w:tcW w:w="2591" w:type="dxa"/>
          </w:tcPr>
          <w:p w14:paraId="1ED3022F" w14:textId="2A120FD7" w:rsidR="000D4961" w:rsidRPr="0014036C" w:rsidRDefault="000D4961" w:rsidP="000D4961">
            <w:pPr>
              <w:pStyle w:val="FEMATableText"/>
              <w:spacing w:before="96" w:after="96"/>
            </w:pPr>
            <w:r>
              <w:t>General Occupancy Code</w:t>
            </w:r>
          </w:p>
        </w:tc>
        <w:tc>
          <w:tcPr>
            <w:tcW w:w="7194" w:type="dxa"/>
          </w:tcPr>
          <w:p w14:paraId="200788F6" w14:textId="1641BFC0" w:rsidR="000D4961" w:rsidRPr="00525E90" w:rsidRDefault="000D4961" w:rsidP="000D4961">
            <w:pPr>
              <w:pStyle w:val="FEMATableText"/>
              <w:spacing w:before="96" w:after="96"/>
            </w:pPr>
            <w:r>
              <w:t>This column can be used with the Property Class Description to remove residential properties. Use the “Filter” tool and unselect “Residential.”</w:t>
            </w:r>
          </w:p>
        </w:tc>
      </w:tr>
      <w:tr w:rsidR="000D4961" w:rsidRPr="00525E90" w14:paraId="33F222D3" w14:textId="77777777" w:rsidTr="000D4961">
        <w:tc>
          <w:tcPr>
            <w:tcW w:w="1007" w:type="dxa"/>
          </w:tcPr>
          <w:p w14:paraId="2D1F580D" w14:textId="7CCF7888" w:rsidR="000D4961" w:rsidRPr="00EE06FC" w:rsidRDefault="000D4961" w:rsidP="000D4961">
            <w:pPr>
              <w:pStyle w:val="FEMATableText"/>
              <w:spacing w:before="96" w:after="96"/>
            </w:pPr>
            <w:r>
              <w:t>AU</w:t>
            </w:r>
          </w:p>
        </w:tc>
        <w:tc>
          <w:tcPr>
            <w:tcW w:w="2591" w:type="dxa"/>
          </w:tcPr>
          <w:p w14:paraId="2681BFD8" w14:textId="50494DB8" w:rsidR="000D4961" w:rsidRPr="0014036C" w:rsidRDefault="000D4961" w:rsidP="000D4961">
            <w:pPr>
              <w:pStyle w:val="FEMATableText"/>
              <w:spacing w:before="96" w:after="96"/>
            </w:pPr>
            <w:r>
              <w:t>Building Appraisal</w:t>
            </w:r>
          </w:p>
        </w:tc>
        <w:tc>
          <w:tcPr>
            <w:tcW w:w="7194" w:type="dxa"/>
          </w:tcPr>
          <w:p w14:paraId="5AA98221" w14:textId="264E2847" w:rsidR="000D4961" w:rsidRPr="00525E90" w:rsidRDefault="000D4961" w:rsidP="000D4961">
            <w:pPr>
              <w:pStyle w:val="FEMATableText"/>
              <w:spacing w:before="96" w:after="96"/>
            </w:pPr>
            <w:r>
              <w:t>This column shows building replacement values. The data comes from tax assessment data and other local, state, and national sources. It can help you understand a building’s monetary value.</w:t>
            </w:r>
          </w:p>
        </w:tc>
      </w:tr>
      <w:tr w:rsidR="006C0F8E" w:rsidRPr="00525E90" w14:paraId="022608B6" w14:textId="77777777" w:rsidTr="000D4961">
        <w:tc>
          <w:tcPr>
            <w:tcW w:w="1007" w:type="dxa"/>
          </w:tcPr>
          <w:p w14:paraId="24D9621A" w14:textId="2060F88E" w:rsidR="006C0F8E" w:rsidRDefault="006C0F8E" w:rsidP="006C0F8E">
            <w:pPr>
              <w:pStyle w:val="FEMATableText"/>
              <w:spacing w:before="96" w:after="96"/>
            </w:pPr>
            <w:r>
              <w:t>AZ</w:t>
            </w:r>
          </w:p>
        </w:tc>
        <w:tc>
          <w:tcPr>
            <w:tcW w:w="2591" w:type="dxa"/>
          </w:tcPr>
          <w:p w14:paraId="42955790" w14:textId="58990846" w:rsidR="006C0F8E" w:rsidRPr="0014036C" w:rsidRDefault="006C0F8E" w:rsidP="006C0F8E">
            <w:pPr>
              <w:pStyle w:val="FEMATableText"/>
              <w:spacing w:before="96" w:after="96"/>
            </w:pPr>
            <w:r>
              <w:t>Critical Infrastructure</w:t>
            </w:r>
          </w:p>
        </w:tc>
        <w:tc>
          <w:tcPr>
            <w:tcW w:w="7194" w:type="dxa"/>
          </w:tcPr>
          <w:p w14:paraId="038B0415" w14:textId="769E1671" w:rsidR="000D4961" w:rsidRPr="00912DC5" w:rsidRDefault="000D4961" w:rsidP="000D4961">
            <w:pPr>
              <w:pStyle w:val="FEMATableText"/>
              <w:spacing w:before="96" w:after="96"/>
            </w:pPr>
            <w:r>
              <w:t>This c</w:t>
            </w:r>
            <w:r w:rsidRPr="00912DC5">
              <w:t>olumn lists all “essential facilities” and “</w:t>
            </w:r>
            <w:r w:rsidR="00DA191B" w:rsidRPr="00912DC5">
              <w:t xml:space="preserve">non-historical </w:t>
            </w:r>
            <w:r w:rsidRPr="00912DC5">
              <w:t xml:space="preserve">community assets” identified by the WVGISTC. The exception is </w:t>
            </w:r>
            <w:r w:rsidR="00204D6A" w:rsidRPr="00912DC5">
              <w:t xml:space="preserve">historical </w:t>
            </w:r>
            <w:r w:rsidRPr="00912DC5">
              <w:t xml:space="preserve">structures listed on the National Register of Historic Places. The planning team can use the “Filter” tool to select the categories of interest. Options include: </w:t>
            </w:r>
          </w:p>
          <w:p w14:paraId="46A4348D" w14:textId="1AAD0457" w:rsidR="00D167C5" w:rsidRPr="00912DC5" w:rsidRDefault="00D167C5" w:rsidP="000D4961">
            <w:pPr>
              <w:pStyle w:val="FEMATableBullet"/>
              <w:spacing w:before="96" w:after="96"/>
            </w:pPr>
            <w:r w:rsidRPr="00912DC5">
              <w:t>911 Center</w:t>
            </w:r>
          </w:p>
          <w:p w14:paraId="6976FA9F" w14:textId="327E1294" w:rsidR="00D167C5" w:rsidRPr="00912DC5" w:rsidRDefault="00D167C5" w:rsidP="000D4961">
            <w:pPr>
              <w:pStyle w:val="FEMATableBullet"/>
              <w:spacing w:before="96" w:after="96"/>
            </w:pPr>
            <w:r w:rsidRPr="00912DC5">
              <w:t>College / University</w:t>
            </w:r>
          </w:p>
          <w:p w14:paraId="2D42F797" w14:textId="77777777" w:rsidR="000D4961" w:rsidRPr="00912DC5" w:rsidRDefault="000D4961" w:rsidP="000D4961">
            <w:pPr>
              <w:pStyle w:val="FEMATableBullet"/>
              <w:spacing w:before="96" w:after="96"/>
            </w:pPr>
            <w:r w:rsidRPr="00912DC5">
              <w:t>EMS (Emergency Medical Services)</w:t>
            </w:r>
          </w:p>
          <w:p w14:paraId="7D21220F" w14:textId="77777777" w:rsidR="000D4961" w:rsidRPr="00912DC5" w:rsidRDefault="000D4961" w:rsidP="000D4961">
            <w:pPr>
              <w:pStyle w:val="FEMATableBullet"/>
              <w:spacing w:before="96" w:after="96"/>
            </w:pPr>
            <w:r w:rsidRPr="00912DC5">
              <w:t>Fire Station</w:t>
            </w:r>
          </w:p>
          <w:p w14:paraId="7B24A137" w14:textId="21564B13" w:rsidR="000D4961" w:rsidRPr="00912DC5" w:rsidRDefault="000D4961" w:rsidP="000D4961">
            <w:pPr>
              <w:pStyle w:val="FEMATableBullet"/>
              <w:spacing w:before="96" w:after="96"/>
            </w:pPr>
            <w:r w:rsidRPr="00912DC5">
              <w:t>Government (Local, State, and Federal)</w:t>
            </w:r>
          </w:p>
          <w:p w14:paraId="068AEB14" w14:textId="299B89AA" w:rsidR="00D167C5" w:rsidRPr="00912DC5" w:rsidRDefault="00D167C5" w:rsidP="000D4961">
            <w:pPr>
              <w:pStyle w:val="FEMATableBullet"/>
              <w:spacing w:before="96" w:after="96"/>
            </w:pPr>
            <w:r w:rsidRPr="00912DC5">
              <w:t>Hospital</w:t>
            </w:r>
          </w:p>
          <w:p w14:paraId="4749C047" w14:textId="77777777" w:rsidR="000D4961" w:rsidRPr="00912DC5" w:rsidRDefault="000D4961" w:rsidP="000D4961">
            <w:pPr>
              <w:pStyle w:val="FEMATableBullet"/>
              <w:spacing w:before="96" w:after="96"/>
            </w:pPr>
            <w:r w:rsidRPr="00912DC5">
              <w:t>Nursing Home</w:t>
            </w:r>
          </w:p>
          <w:p w14:paraId="73624306" w14:textId="77777777" w:rsidR="000D4961" w:rsidRPr="00912DC5" w:rsidRDefault="000D4961" w:rsidP="000D4961">
            <w:pPr>
              <w:pStyle w:val="FEMATableBullet"/>
              <w:spacing w:before="96" w:after="96"/>
            </w:pPr>
            <w:r w:rsidRPr="00912DC5">
              <w:t>Police Station</w:t>
            </w:r>
          </w:p>
          <w:p w14:paraId="1BB23837" w14:textId="06F5B464" w:rsidR="000D4961" w:rsidRPr="00912DC5" w:rsidRDefault="000D4961" w:rsidP="000D4961">
            <w:pPr>
              <w:pStyle w:val="FEMATableBullet"/>
              <w:spacing w:before="96" w:after="96"/>
            </w:pPr>
            <w:r w:rsidRPr="00912DC5">
              <w:t>Religious Institutions</w:t>
            </w:r>
          </w:p>
          <w:p w14:paraId="1F235359" w14:textId="77777777" w:rsidR="000D4961" w:rsidRPr="00912DC5" w:rsidRDefault="000D4961" w:rsidP="000D4961">
            <w:pPr>
              <w:pStyle w:val="FEMATableBullet"/>
              <w:spacing w:before="96" w:after="96"/>
            </w:pPr>
            <w:r w:rsidRPr="00912DC5">
              <w:t>School</w:t>
            </w:r>
          </w:p>
          <w:p w14:paraId="5541A002" w14:textId="77777777" w:rsidR="006C0F8E" w:rsidRPr="00912DC5" w:rsidRDefault="000D4961" w:rsidP="000D4961">
            <w:pPr>
              <w:pStyle w:val="FEMATableBullet"/>
              <w:spacing w:before="96" w:after="96"/>
            </w:pPr>
            <w:r w:rsidRPr="00912DC5">
              <w:t>Utilit</w:t>
            </w:r>
            <w:r w:rsidR="00D167C5" w:rsidRPr="00912DC5">
              <w:t>y</w:t>
            </w:r>
          </w:p>
          <w:p w14:paraId="764CFA2A" w14:textId="68545B7D" w:rsidR="00D167C5" w:rsidRPr="00525E90" w:rsidRDefault="00D167C5" w:rsidP="000D4961">
            <w:pPr>
              <w:pStyle w:val="FEMATableBullet"/>
              <w:spacing w:before="96" w:after="96"/>
            </w:pPr>
            <w:r w:rsidRPr="00912DC5">
              <w:t>Other</w:t>
            </w:r>
          </w:p>
        </w:tc>
      </w:tr>
      <w:tr w:rsidR="006C0F8E" w:rsidRPr="00525E90" w14:paraId="569F20B1" w14:textId="77777777" w:rsidTr="000D4961">
        <w:tc>
          <w:tcPr>
            <w:tcW w:w="1007" w:type="dxa"/>
          </w:tcPr>
          <w:p w14:paraId="7A68F4D3" w14:textId="5598BA1C" w:rsidR="006C0F8E" w:rsidRDefault="00807C09" w:rsidP="006C0F8E">
            <w:pPr>
              <w:pStyle w:val="FEMATableText"/>
              <w:spacing w:before="96" w:after="96"/>
            </w:pPr>
            <w:r>
              <w:lastRenderedPageBreak/>
              <w:t>I</w:t>
            </w:r>
          </w:p>
        </w:tc>
        <w:tc>
          <w:tcPr>
            <w:tcW w:w="2591" w:type="dxa"/>
          </w:tcPr>
          <w:p w14:paraId="27853E10" w14:textId="0D69486C" w:rsidR="006C0F8E" w:rsidRDefault="006C0F8E" w:rsidP="006C0F8E">
            <w:pPr>
              <w:pStyle w:val="FEMATableText"/>
              <w:spacing w:before="96" w:after="96"/>
            </w:pPr>
            <w:r>
              <w:t>WV Flood Tool Link</w:t>
            </w:r>
          </w:p>
        </w:tc>
        <w:tc>
          <w:tcPr>
            <w:tcW w:w="7194" w:type="dxa"/>
          </w:tcPr>
          <w:p w14:paraId="3DAAA595" w14:textId="30BEF371" w:rsidR="006C0F8E" w:rsidRPr="00525E90" w:rsidRDefault="000D4961" w:rsidP="006C0F8E">
            <w:pPr>
              <w:pStyle w:val="FEMATableText"/>
              <w:spacing w:before="96" w:after="96"/>
            </w:pPr>
            <w:r>
              <w:t>This column includes a link to each building in the Risk MAP view of the WV Flood Tool. It can be used to orient community representatives to the structures in the spreadsheet. It can also help them ground-truth the spreadsheet’s data, based on local knowledge.</w:t>
            </w:r>
          </w:p>
        </w:tc>
      </w:tr>
    </w:tbl>
    <w:p w14:paraId="481A8906" w14:textId="0EFD5C24" w:rsidR="0090632C" w:rsidRDefault="0090632C" w:rsidP="0090632C">
      <w:pPr>
        <w:pStyle w:val="FEMAHeading2"/>
      </w:pPr>
      <w:r>
        <w:t>What is the Degree of Risk?</w:t>
      </w:r>
    </w:p>
    <w:p w14:paraId="51C99DDB" w14:textId="69D88518" w:rsidR="00005F6B" w:rsidRDefault="000D4961" w:rsidP="003C1CF7">
      <w:pPr>
        <w:pStyle w:val="FEMANormal"/>
      </w:pPr>
      <w:r>
        <w:t>The planning team will now have a</w:t>
      </w:r>
      <w:r w:rsidR="00004F6D">
        <w:t xml:space="preserve"> </w:t>
      </w:r>
      <w:r w:rsidR="000B0EBC">
        <w:t>table</w:t>
      </w:r>
      <w:r w:rsidR="00004F6D">
        <w:t xml:space="preserve"> </w:t>
      </w:r>
      <w:r w:rsidR="000B0EBC">
        <w:t>showin</w:t>
      </w:r>
      <w:r w:rsidR="000B0EBC" w:rsidRPr="00912DC5">
        <w:t xml:space="preserve">g key </w:t>
      </w:r>
      <w:r w:rsidR="00F95273" w:rsidRPr="00912DC5">
        <w:t>significant structures</w:t>
      </w:r>
      <w:r w:rsidR="000B0EBC" w:rsidRPr="00912DC5">
        <w:t xml:space="preserve"> that are at risk from flooding. Next, </w:t>
      </w:r>
      <w:r w:rsidRPr="00912DC5">
        <w:t>they may</w:t>
      </w:r>
      <w:r w:rsidR="000B0EBC" w:rsidRPr="00912DC5">
        <w:t xml:space="preserve"> want </w:t>
      </w:r>
      <w:r w:rsidRPr="00912DC5">
        <w:t xml:space="preserve">to focus on the flood zone information and loss estimates they find most important. The WVGISTC’s full dataset includes 11 data points related to the flood zone and more than 20 related to estimated flood losses. To make sense of all this data, planning teams will have to choose key data points to evaluate. </w:t>
      </w:r>
      <w:r w:rsidR="007C4CCE" w:rsidRPr="00912DC5">
        <w:fldChar w:fldCharType="begin"/>
      </w:r>
      <w:r w:rsidR="007C4CCE" w:rsidRPr="00912DC5">
        <w:instrText xml:space="preserve"> REF _Ref114165713 \h </w:instrText>
      </w:r>
      <w:r w:rsidR="007C4CCE" w:rsidRPr="00912DC5">
        <w:fldChar w:fldCharType="separate"/>
      </w:r>
      <w:r w:rsidR="007C4CCE" w:rsidRPr="00912DC5">
        <w:t xml:space="preserve">Table </w:t>
      </w:r>
      <w:r w:rsidR="007C4CCE" w:rsidRPr="00912DC5">
        <w:rPr>
          <w:noProof/>
        </w:rPr>
        <w:t>2</w:t>
      </w:r>
      <w:r w:rsidR="007C4CCE" w:rsidRPr="00912DC5">
        <w:fldChar w:fldCharType="end"/>
      </w:r>
      <w:r w:rsidR="007C4CCE" w:rsidRPr="00912DC5">
        <w:t xml:space="preserve"> s</w:t>
      </w:r>
      <w:r w:rsidRPr="00912DC5">
        <w:t xml:space="preserve">hows the data points that may have the most value. For data points related to flood zone information, the team should choose columns that help them answer “why is this </w:t>
      </w:r>
      <w:r w:rsidR="008079D3" w:rsidRPr="00912DC5">
        <w:t>significant structure</w:t>
      </w:r>
      <w:r w:rsidRPr="00912DC5">
        <w:t xml:space="preserve"> at risk?” For data points related to flood losses, the team should choose columns that help them answer “what is the d</w:t>
      </w:r>
      <w:r>
        <w:t>egree of risk?” Planning teams can use the “Hide” function in Excel to show only their columns of interest</w:t>
      </w:r>
      <w:r w:rsidR="00DB628C">
        <w:t>.</w:t>
      </w:r>
    </w:p>
    <w:p w14:paraId="35110E08" w14:textId="3657A797" w:rsidR="001361E8" w:rsidRDefault="001361E8" w:rsidP="001361E8">
      <w:pPr>
        <w:pStyle w:val="FEMATableCaption"/>
      </w:pPr>
      <w:bookmarkStart w:id="8" w:name="_Ref114165713"/>
      <w:r>
        <w:t xml:space="preserve">Table </w:t>
      </w:r>
      <w:fldSimple w:instr=" SEQ Table \* ARABIC ">
        <w:r>
          <w:rPr>
            <w:noProof/>
          </w:rPr>
          <w:t>2</w:t>
        </w:r>
      </w:fldSimple>
      <w:bookmarkEnd w:id="8"/>
      <w:r w:rsidRPr="008729E8">
        <w:t>:</w:t>
      </w:r>
      <w:r>
        <w:t xml:space="preserve"> What is the degree of risk?</w:t>
      </w:r>
      <w:r w:rsidRPr="008729E8">
        <w:t xml:space="preserve"> </w:t>
      </w:r>
    </w:p>
    <w:tbl>
      <w:tblPr>
        <w:tblStyle w:val="FEMATable1-DHSGray"/>
        <w:tblW w:w="4995" w:type="pct"/>
        <w:tblInd w:w="18" w:type="dxa"/>
        <w:tblLook w:val="04A0" w:firstRow="1" w:lastRow="0" w:firstColumn="1" w:lastColumn="0" w:noHBand="0" w:noVBand="1"/>
      </w:tblPr>
      <w:tblGrid>
        <w:gridCol w:w="1007"/>
        <w:gridCol w:w="2589"/>
        <w:gridCol w:w="7183"/>
      </w:tblGrid>
      <w:tr w:rsidR="006C0F8E" w:rsidRPr="00525E90" w14:paraId="77A84E6A" w14:textId="77777777" w:rsidTr="000D4961">
        <w:trPr>
          <w:cnfStyle w:val="100000000000" w:firstRow="1" w:lastRow="0" w:firstColumn="0" w:lastColumn="0" w:oddVBand="0" w:evenVBand="0" w:oddHBand="0" w:evenHBand="0" w:firstRowFirstColumn="0" w:firstRowLastColumn="0" w:lastRowFirstColumn="0" w:lastRowLastColumn="0"/>
        </w:trPr>
        <w:tc>
          <w:tcPr>
            <w:tcW w:w="1007" w:type="dxa"/>
          </w:tcPr>
          <w:p w14:paraId="24418B26" w14:textId="77777777" w:rsidR="006C0F8E" w:rsidRPr="00525E90" w:rsidRDefault="006C0F8E" w:rsidP="003B194D">
            <w:pPr>
              <w:pStyle w:val="FEMATableHeading"/>
            </w:pPr>
            <w:r>
              <w:t>Column</w:t>
            </w:r>
          </w:p>
        </w:tc>
        <w:tc>
          <w:tcPr>
            <w:tcW w:w="2589" w:type="dxa"/>
          </w:tcPr>
          <w:p w14:paraId="0183FC43" w14:textId="77777777" w:rsidR="006C0F8E" w:rsidRPr="00904852" w:rsidRDefault="006C0F8E" w:rsidP="003B194D">
            <w:pPr>
              <w:pStyle w:val="FEMATableHeading"/>
            </w:pPr>
            <w:r>
              <w:t>Data Point</w:t>
            </w:r>
          </w:p>
        </w:tc>
        <w:tc>
          <w:tcPr>
            <w:tcW w:w="7184" w:type="dxa"/>
          </w:tcPr>
          <w:p w14:paraId="3F714672" w14:textId="77777777" w:rsidR="006C0F8E" w:rsidRPr="00525E90" w:rsidRDefault="006C0F8E" w:rsidP="003B194D">
            <w:pPr>
              <w:pStyle w:val="FEMATableHeading"/>
            </w:pPr>
            <w:r>
              <w:t>How to Use the Data Point</w:t>
            </w:r>
          </w:p>
        </w:tc>
      </w:tr>
      <w:tr w:rsidR="000D4961" w:rsidRPr="00525E90" w14:paraId="29F0430B" w14:textId="77777777" w:rsidTr="000D4961">
        <w:tc>
          <w:tcPr>
            <w:tcW w:w="1007" w:type="dxa"/>
          </w:tcPr>
          <w:p w14:paraId="32E38EB7" w14:textId="0D4F3F28" w:rsidR="000D4961" w:rsidRPr="00EE06FC" w:rsidRDefault="000D4961" w:rsidP="000D4961">
            <w:pPr>
              <w:pStyle w:val="FEMATableText"/>
              <w:spacing w:before="96" w:after="96"/>
            </w:pPr>
            <w:r>
              <w:t>R</w:t>
            </w:r>
          </w:p>
        </w:tc>
        <w:tc>
          <w:tcPr>
            <w:tcW w:w="2589" w:type="dxa"/>
          </w:tcPr>
          <w:p w14:paraId="5EE6C52A" w14:textId="27C0DDDB" w:rsidR="000D4961" w:rsidRPr="0014036C" w:rsidRDefault="000D4961" w:rsidP="000D4961">
            <w:pPr>
              <w:pStyle w:val="FEMATableText"/>
              <w:spacing w:before="96" w:after="96"/>
            </w:pPr>
            <w:r>
              <w:t>Floodway</w:t>
            </w:r>
          </w:p>
        </w:tc>
        <w:tc>
          <w:tcPr>
            <w:tcW w:w="7184" w:type="dxa"/>
          </w:tcPr>
          <w:p w14:paraId="48FA14B9" w14:textId="1B1610E2" w:rsidR="000D4961" w:rsidRPr="00891CE9" w:rsidRDefault="000D4961" w:rsidP="000D4961">
            <w:pPr>
              <w:pStyle w:val="FEMATableText"/>
              <w:spacing w:before="96" w:after="96"/>
            </w:pPr>
            <w:r w:rsidRPr="00891CE9">
              <w:t xml:space="preserve">This column shows whether or not a building is in the floodway. The floodway is the natural conduit for flood waters. Sites in a floodway or closest to a river or stream may be subject to the greatest flood depths, highest velocities, and greatest </w:t>
            </w:r>
            <w:r>
              <w:t xml:space="preserve">impacts from </w:t>
            </w:r>
            <w:r w:rsidRPr="00891CE9">
              <w:t>debris.</w:t>
            </w:r>
          </w:p>
          <w:p w14:paraId="5626CF6C" w14:textId="66C10DE1" w:rsidR="000D4961" w:rsidRPr="00525E90" w:rsidRDefault="000D4961" w:rsidP="000D4961">
            <w:pPr>
              <w:pStyle w:val="FEMATableText"/>
              <w:spacing w:before="96" w:after="96"/>
            </w:pPr>
            <w:r w:rsidRPr="00891CE9">
              <w:t>The information in this column can re</w:t>
            </w:r>
            <w:r>
              <w:t>veal</w:t>
            </w:r>
            <w:r w:rsidRPr="00891CE9">
              <w:t xml:space="preserve"> why a building was identified as </w:t>
            </w:r>
            <w:r>
              <w:t xml:space="preserve">being </w:t>
            </w:r>
            <w:r w:rsidRPr="00891CE9">
              <w:t>at</w:t>
            </w:r>
            <w:r>
              <w:t xml:space="preserve"> </w:t>
            </w:r>
            <w:r w:rsidRPr="00891CE9">
              <w:t>risk from flooding.</w:t>
            </w:r>
          </w:p>
        </w:tc>
      </w:tr>
      <w:tr w:rsidR="000D4961" w:rsidRPr="00525E90" w14:paraId="6C2B55C2" w14:textId="77777777" w:rsidTr="000D4961">
        <w:tc>
          <w:tcPr>
            <w:tcW w:w="1007" w:type="dxa"/>
          </w:tcPr>
          <w:p w14:paraId="774C7A53" w14:textId="5585D70E" w:rsidR="000D4961" w:rsidRDefault="000D4961" w:rsidP="000D4961">
            <w:pPr>
              <w:pStyle w:val="FEMATableText"/>
              <w:spacing w:before="96" w:after="96"/>
            </w:pPr>
            <w:r>
              <w:t>S</w:t>
            </w:r>
          </w:p>
        </w:tc>
        <w:tc>
          <w:tcPr>
            <w:tcW w:w="2589" w:type="dxa"/>
          </w:tcPr>
          <w:p w14:paraId="4BFDC773" w14:textId="74BDD2D7" w:rsidR="000D4961" w:rsidRDefault="000D4961" w:rsidP="000D4961">
            <w:pPr>
              <w:pStyle w:val="FEMATableText"/>
              <w:spacing w:before="96" w:after="96"/>
            </w:pPr>
            <w:r>
              <w:t>Regulatory Status</w:t>
            </w:r>
          </w:p>
        </w:tc>
        <w:tc>
          <w:tcPr>
            <w:tcW w:w="7184" w:type="dxa"/>
          </w:tcPr>
          <w:p w14:paraId="43D78CE9" w14:textId="77777777" w:rsidR="000D4961" w:rsidRPr="00891CE9" w:rsidRDefault="000D4961" w:rsidP="000D4961">
            <w:pPr>
              <w:pStyle w:val="FEMATableText"/>
              <w:spacing w:before="96" w:after="96"/>
            </w:pPr>
            <w:r w:rsidRPr="00891CE9">
              <w:t xml:space="preserve">This column shows whether the building is in the effective or advisory high-risk flood zone. If the value is “Regulatory,” the building is in the effective high-risk flood zone. If </w:t>
            </w:r>
            <w:r>
              <w:t>it</w:t>
            </w:r>
            <w:r w:rsidRPr="00891CE9">
              <w:t xml:space="preserve"> is “Non-Regulatory,” the building is in the advisory high-risk flood zone. </w:t>
            </w:r>
          </w:p>
          <w:p w14:paraId="61D96602" w14:textId="4D918C7C" w:rsidR="000D4961" w:rsidRPr="00525E90" w:rsidRDefault="000D4961" w:rsidP="000D4961">
            <w:pPr>
              <w:pStyle w:val="FEMATableText"/>
              <w:spacing w:before="96" w:after="96"/>
            </w:pPr>
            <w:r w:rsidRPr="00891CE9">
              <w:t xml:space="preserve">The information in this column can </w:t>
            </w:r>
            <w:r>
              <w:t>indicate</w:t>
            </w:r>
            <w:r w:rsidRPr="00891CE9">
              <w:t xml:space="preserve"> why a building was identified as </w:t>
            </w:r>
            <w:r>
              <w:t xml:space="preserve">being </w:t>
            </w:r>
            <w:r w:rsidRPr="00891CE9">
              <w:t>at</w:t>
            </w:r>
            <w:r>
              <w:t xml:space="preserve"> </w:t>
            </w:r>
            <w:r w:rsidRPr="00891CE9">
              <w:t>risk from flooding.</w:t>
            </w:r>
          </w:p>
        </w:tc>
      </w:tr>
      <w:tr w:rsidR="000D4961" w:rsidRPr="00525E90" w14:paraId="6D7D7788" w14:textId="77777777" w:rsidTr="000D4961">
        <w:tc>
          <w:tcPr>
            <w:tcW w:w="1007" w:type="dxa"/>
          </w:tcPr>
          <w:p w14:paraId="3D1976D9" w14:textId="7C823C50" w:rsidR="000D4961" w:rsidRDefault="000D4961" w:rsidP="000D4961">
            <w:pPr>
              <w:pStyle w:val="FEMATableText"/>
              <w:spacing w:before="96" w:after="96"/>
            </w:pPr>
            <w:r>
              <w:t>T</w:t>
            </w:r>
          </w:p>
        </w:tc>
        <w:tc>
          <w:tcPr>
            <w:tcW w:w="2589" w:type="dxa"/>
          </w:tcPr>
          <w:p w14:paraId="14F143CB" w14:textId="161462D3" w:rsidR="000D4961" w:rsidRDefault="000D4961" w:rsidP="000D4961">
            <w:pPr>
              <w:pStyle w:val="FEMATableText"/>
              <w:spacing w:before="96" w:after="96"/>
            </w:pPr>
            <w:r>
              <w:t>FIRM Status</w:t>
            </w:r>
          </w:p>
        </w:tc>
        <w:tc>
          <w:tcPr>
            <w:tcW w:w="7184" w:type="dxa"/>
          </w:tcPr>
          <w:p w14:paraId="5EAFAF39" w14:textId="77777777" w:rsidR="000D4961" w:rsidRPr="00891CE9" w:rsidRDefault="000D4961" w:rsidP="000D4961">
            <w:pPr>
              <w:pStyle w:val="FEMATableText"/>
              <w:spacing w:before="96" w:after="96"/>
            </w:pPr>
            <w:r w:rsidRPr="00891CE9">
              <w:t xml:space="preserve">This column shows whether a </w:t>
            </w:r>
            <w:r>
              <w:t>structure</w:t>
            </w:r>
            <w:r w:rsidRPr="00891CE9">
              <w:t xml:space="preserve"> was </w:t>
            </w:r>
            <w:r>
              <w:t>built</w:t>
            </w:r>
            <w:r w:rsidRPr="00891CE9">
              <w:t xml:space="preserve"> before or after </w:t>
            </w:r>
            <w:r>
              <w:t xml:space="preserve">the </w:t>
            </w:r>
            <w:r w:rsidRPr="00891CE9">
              <w:t xml:space="preserve">National Flood Insurance Program (NFIP) requirements took effect. Post-FIRM buildings </w:t>
            </w:r>
            <w:r>
              <w:t>must</w:t>
            </w:r>
            <w:r w:rsidRPr="00891CE9">
              <w:t xml:space="preserve"> meet</w:t>
            </w:r>
            <w:r>
              <w:t xml:space="preserve"> the</w:t>
            </w:r>
            <w:r w:rsidRPr="00891CE9">
              <w:t xml:space="preserve"> minimum NFIP standards. Most Pre-FIRM buildings were </w:t>
            </w:r>
            <w:r>
              <w:t>built</w:t>
            </w:r>
            <w:r w:rsidRPr="00891CE9">
              <w:t xml:space="preserve"> without </w:t>
            </w:r>
            <w:r>
              <w:t>accounting for</w:t>
            </w:r>
            <w:r w:rsidRPr="00891CE9">
              <w:t xml:space="preserve"> the flood hazard.</w:t>
            </w:r>
          </w:p>
          <w:p w14:paraId="06C277E0" w14:textId="14E2172B" w:rsidR="000D4961" w:rsidRPr="00525E90" w:rsidRDefault="000D4961" w:rsidP="000D4961">
            <w:pPr>
              <w:pStyle w:val="FEMATableText"/>
              <w:spacing w:before="96" w:after="96"/>
            </w:pPr>
            <w:r w:rsidRPr="00891CE9">
              <w:t xml:space="preserve">The information in this column can indicate which buildings </w:t>
            </w:r>
            <w:r>
              <w:t>are</w:t>
            </w:r>
            <w:r w:rsidRPr="00891CE9">
              <w:t xml:space="preserve"> more vulnerable to flooding.</w:t>
            </w:r>
          </w:p>
        </w:tc>
      </w:tr>
      <w:tr w:rsidR="000D4961" w:rsidRPr="00525E90" w14:paraId="1BE627C2" w14:textId="77777777" w:rsidTr="000D4961">
        <w:tc>
          <w:tcPr>
            <w:tcW w:w="1007" w:type="dxa"/>
          </w:tcPr>
          <w:p w14:paraId="69037912" w14:textId="16093BCB" w:rsidR="000D4961" w:rsidRDefault="000D4961" w:rsidP="000D4961">
            <w:pPr>
              <w:pStyle w:val="FEMATableText"/>
              <w:spacing w:before="96" w:after="96"/>
            </w:pPr>
            <w:r>
              <w:t>U</w:t>
            </w:r>
          </w:p>
        </w:tc>
        <w:tc>
          <w:tcPr>
            <w:tcW w:w="2589" w:type="dxa"/>
          </w:tcPr>
          <w:p w14:paraId="454883A0" w14:textId="08F538DC" w:rsidR="000D4961" w:rsidRDefault="000D4961" w:rsidP="000D4961">
            <w:pPr>
              <w:pStyle w:val="FEMATableText"/>
              <w:spacing w:before="96" w:after="96"/>
            </w:pPr>
            <w:r>
              <w:t>Flood Depth</w:t>
            </w:r>
          </w:p>
        </w:tc>
        <w:tc>
          <w:tcPr>
            <w:tcW w:w="7184" w:type="dxa"/>
          </w:tcPr>
          <w:p w14:paraId="09EE7409" w14:textId="4488D3A8" w:rsidR="000D4961" w:rsidRPr="00525E90" w:rsidRDefault="000D4961" w:rsidP="000D4961">
            <w:pPr>
              <w:pStyle w:val="FEMATableText"/>
              <w:spacing w:before="96" w:after="96"/>
            </w:pPr>
            <w:r w:rsidRPr="00891CE9">
              <w:t xml:space="preserve">This column shows the height of the 1%-annual-chance flood above the ground surface. It can help </w:t>
            </w:r>
            <w:r>
              <w:t>users see</w:t>
            </w:r>
            <w:r w:rsidRPr="00891CE9">
              <w:t xml:space="preserve"> how flooding at the site could disrupt the community.</w:t>
            </w:r>
          </w:p>
        </w:tc>
      </w:tr>
      <w:tr w:rsidR="000D4961" w:rsidRPr="00525E90" w14:paraId="74040F60" w14:textId="77777777" w:rsidTr="000D4961">
        <w:tc>
          <w:tcPr>
            <w:tcW w:w="1007" w:type="dxa"/>
          </w:tcPr>
          <w:p w14:paraId="48D9FF5A" w14:textId="04BD4026" w:rsidR="000D4961" w:rsidRDefault="000D4961" w:rsidP="000D4961">
            <w:pPr>
              <w:pStyle w:val="FEMATableText"/>
              <w:spacing w:before="96" w:after="96"/>
            </w:pPr>
            <w:r>
              <w:lastRenderedPageBreak/>
              <w:t>CE</w:t>
            </w:r>
          </w:p>
        </w:tc>
        <w:tc>
          <w:tcPr>
            <w:tcW w:w="2589" w:type="dxa"/>
          </w:tcPr>
          <w:p w14:paraId="6E25FD0E" w14:textId="6E0C6A0A" w:rsidR="000D4961" w:rsidRDefault="000D4961" w:rsidP="000D4961">
            <w:pPr>
              <w:pStyle w:val="FEMATableText"/>
              <w:spacing w:before="96" w:after="96"/>
            </w:pPr>
            <w:r>
              <w:t>Water Depth in Structure</w:t>
            </w:r>
          </w:p>
        </w:tc>
        <w:tc>
          <w:tcPr>
            <w:tcW w:w="7184" w:type="dxa"/>
          </w:tcPr>
          <w:p w14:paraId="4269E85D" w14:textId="5C0BC1B6" w:rsidR="000D4961" w:rsidRPr="00525E90" w:rsidRDefault="000D4961" w:rsidP="000D4961">
            <w:pPr>
              <w:pStyle w:val="FEMATableText"/>
              <w:spacing w:before="96" w:after="96"/>
            </w:pPr>
            <w:r w:rsidRPr="00891CE9">
              <w:t>This column shows the height of the 1%-annual-chance flood above the first floor of the building. It can</w:t>
            </w:r>
            <w:r>
              <w:t xml:space="preserve"> indicate</w:t>
            </w:r>
            <w:r w:rsidRPr="00891CE9">
              <w:t xml:space="preserve"> the degree of flood risk </w:t>
            </w:r>
            <w:r>
              <w:t>to</w:t>
            </w:r>
            <w:r w:rsidRPr="00891CE9">
              <w:t xml:space="preserve"> a building.</w:t>
            </w:r>
          </w:p>
        </w:tc>
      </w:tr>
      <w:tr w:rsidR="000D4961" w:rsidRPr="00525E90" w14:paraId="322625BB" w14:textId="77777777" w:rsidTr="000D4961">
        <w:tc>
          <w:tcPr>
            <w:tcW w:w="1007" w:type="dxa"/>
          </w:tcPr>
          <w:p w14:paraId="37E4D541" w14:textId="3107E364" w:rsidR="000D4961" w:rsidRDefault="000D4961" w:rsidP="000D4961">
            <w:pPr>
              <w:pStyle w:val="FEMATableText"/>
              <w:spacing w:before="96" w:after="96"/>
            </w:pPr>
            <w:r>
              <w:t>CI</w:t>
            </w:r>
          </w:p>
        </w:tc>
        <w:tc>
          <w:tcPr>
            <w:tcW w:w="2589" w:type="dxa"/>
          </w:tcPr>
          <w:p w14:paraId="60D5EF02" w14:textId="69C7256A" w:rsidR="000D4961" w:rsidRDefault="000D4961" w:rsidP="000D4961">
            <w:pPr>
              <w:pStyle w:val="FEMATableText"/>
              <w:spacing w:before="96" w:after="96"/>
            </w:pPr>
            <w:r>
              <w:t>Building Damage Percentage</w:t>
            </w:r>
          </w:p>
        </w:tc>
        <w:tc>
          <w:tcPr>
            <w:tcW w:w="7184" w:type="dxa"/>
          </w:tcPr>
          <w:p w14:paraId="0A3F1C1C" w14:textId="5EF6B619" w:rsidR="000D4961" w:rsidRPr="00525E90" w:rsidRDefault="000D4961" w:rsidP="000D4961">
            <w:pPr>
              <w:pStyle w:val="FEMATableText"/>
              <w:spacing w:before="96" w:after="96"/>
            </w:pPr>
            <w:r w:rsidRPr="00891CE9">
              <w:t>This column</w:t>
            </w:r>
            <w:r>
              <w:t>,</w:t>
            </w:r>
            <w:r w:rsidRPr="00891CE9">
              <w:t xml:space="preserve"> with Building Dollar Loss</w:t>
            </w:r>
            <w:r>
              <w:t>,</w:t>
            </w:r>
            <w:r w:rsidRPr="00891CE9">
              <w:t xml:space="preserve"> can </w:t>
            </w:r>
            <w:r>
              <w:t>be used to assess</w:t>
            </w:r>
            <w:r w:rsidRPr="00891CE9">
              <w:t xml:space="preserve"> the potential damage to each building.</w:t>
            </w:r>
          </w:p>
        </w:tc>
      </w:tr>
      <w:tr w:rsidR="000D4961" w:rsidRPr="00525E90" w14:paraId="2723BE92" w14:textId="77777777" w:rsidTr="000D4961">
        <w:tc>
          <w:tcPr>
            <w:tcW w:w="1007" w:type="dxa"/>
          </w:tcPr>
          <w:p w14:paraId="0EDD39C6" w14:textId="44E75A5A" w:rsidR="000D4961" w:rsidRDefault="000D4961" w:rsidP="000D4961">
            <w:pPr>
              <w:pStyle w:val="FEMATableText"/>
              <w:spacing w:before="96" w:after="96"/>
            </w:pPr>
            <w:r>
              <w:t>CJ</w:t>
            </w:r>
          </w:p>
        </w:tc>
        <w:tc>
          <w:tcPr>
            <w:tcW w:w="2589" w:type="dxa"/>
          </w:tcPr>
          <w:p w14:paraId="57FE1F58" w14:textId="4FBA2E19" w:rsidR="000D4961" w:rsidRDefault="000D4961" w:rsidP="000D4961">
            <w:pPr>
              <w:pStyle w:val="FEMATableText"/>
              <w:spacing w:before="96" w:after="96"/>
            </w:pPr>
            <w:r>
              <w:t>Building Dollar Loss</w:t>
            </w:r>
          </w:p>
        </w:tc>
        <w:tc>
          <w:tcPr>
            <w:tcW w:w="7184" w:type="dxa"/>
          </w:tcPr>
          <w:p w14:paraId="4B055892" w14:textId="65D46227" w:rsidR="000D4961" w:rsidRPr="00525E90" w:rsidRDefault="000D4961" w:rsidP="000D4961">
            <w:pPr>
              <w:pStyle w:val="FEMATableText"/>
              <w:spacing w:before="96" w:after="96"/>
            </w:pPr>
            <w:r w:rsidRPr="00891CE9">
              <w:t>This column</w:t>
            </w:r>
            <w:r>
              <w:t>,</w:t>
            </w:r>
            <w:r w:rsidRPr="00891CE9">
              <w:t xml:space="preserve"> with Building Damage Percentage</w:t>
            </w:r>
            <w:r>
              <w:t>, can</w:t>
            </w:r>
            <w:r w:rsidRPr="00891CE9">
              <w:t xml:space="preserve"> </w:t>
            </w:r>
            <w:r>
              <w:t>be used to assess</w:t>
            </w:r>
            <w:r w:rsidRPr="00891CE9">
              <w:t xml:space="preserve"> the potential damage to each building.</w:t>
            </w:r>
          </w:p>
        </w:tc>
      </w:tr>
      <w:tr w:rsidR="000D4961" w:rsidRPr="00525E90" w14:paraId="396512C2" w14:textId="77777777" w:rsidTr="000D4961">
        <w:tc>
          <w:tcPr>
            <w:tcW w:w="1007" w:type="dxa"/>
          </w:tcPr>
          <w:p w14:paraId="60151CF3" w14:textId="6BB9087B" w:rsidR="000D4961" w:rsidRDefault="000D4961" w:rsidP="000D4961">
            <w:pPr>
              <w:pStyle w:val="FEMATableText"/>
              <w:spacing w:before="96" w:after="96"/>
            </w:pPr>
            <w:r>
              <w:t>CM</w:t>
            </w:r>
          </w:p>
        </w:tc>
        <w:tc>
          <w:tcPr>
            <w:tcW w:w="2589" w:type="dxa"/>
          </w:tcPr>
          <w:p w14:paraId="250490C9" w14:textId="0F525249" w:rsidR="000D4961" w:rsidRDefault="000D4961" w:rsidP="000D4961">
            <w:pPr>
              <w:pStyle w:val="FEMATableText"/>
              <w:spacing w:before="96" w:after="96"/>
            </w:pPr>
            <w:r>
              <w:t>Content Damage Percentage</w:t>
            </w:r>
          </w:p>
        </w:tc>
        <w:tc>
          <w:tcPr>
            <w:tcW w:w="7184" w:type="dxa"/>
          </w:tcPr>
          <w:p w14:paraId="3B33482F" w14:textId="19106FDA" w:rsidR="000D4961" w:rsidRPr="00525E90" w:rsidRDefault="000D4961" w:rsidP="000D4961">
            <w:pPr>
              <w:pStyle w:val="FEMATableText"/>
              <w:spacing w:before="96" w:after="96"/>
            </w:pPr>
            <w:r w:rsidRPr="00891CE9">
              <w:t>This column</w:t>
            </w:r>
            <w:r>
              <w:t>,</w:t>
            </w:r>
            <w:r w:rsidRPr="00891CE9">
              <w:t xml:space="preserve"> with Content Dollar Loss</w:t>
            </w:r>
            <w:r>
              <w:t>, can be used</w:t>
            </w:r>
            <w:r w:rsidRPr="00891CE9">
              <w:t xml:space="preserve"> to </w:t>
            </w:r>
            <w:r>
              <w:t>assess</w:t>
            </w:r>
            <w:r w:rsidRPr="00891CE9">
              <w:t xml:space="preserve"> the potential content damage for each building.</w:t>
            </w:r>
          </w:p>
        </w:tc>
      </w:tr>
      <w:tr w:rsidR="000D4961" w:rsidRPr="00525E90" w14:paraId="129DF9FA" w14:textId="77777777" w:rsidTr="000D4961">
        <w:tc>
          <w:tcPr>
            <w:tcW w:w="1007" w:type="dxa"/>
          </w:tcPr>
          <w:p w14:paraId="2B4A7E64" w14:textId="42D8C55B" w:rsidR="000D4961" w:rsidRDefault="000D4961" w:rsidP="000D4961">
            <w:pPr>
              <w:pStyle w:val="FEMATableText"/>
              <w:spacing w:before="96" w:after="96"/>
            </w:pPr>
            <w:r>
              <w:t>CN</w:t>
            </w:r>
          </w:p>
        </w:tc>
        <w:tc>
          <w:tcPr>
            <w:tcW w:w="2589" w:type="dxa"/>
          </w:tcPr>
          <w:p w14:paraId="63DF8E3B" w14:textId="082F177A" w:rsidR="000D4961" w:rsidRDefault="000D4961" w:rsidP="000D4961">
            <w:pPr>
              <w:pStyle w:val="FEMATableText"/>
              <w:spacing w:before="96" w:after="96"/>
            </w:pPr>
            <w:r>
              <w:t>Content Dollar Loss</w:t>
            </w:r>
          </w:p>
        </w:tc>
        <w:tc>
          <w:tcPr>
            <w:tcW w:w="7184" w:type="dxa"/>
          </w:tcPr>
          <w:p w14:paraId="1260475A" w14:textId="5B275A59" w:rsidR="000D4961" w:rsidRPr="00525E90" w:rsidRDefault="000D4961" w:rsidP="000D4961">
            <w:pPr>
              <w:pStyle w:val="FEMATableText"/>
              <w:spacing w:before="96" w:after="96"/>
            </w:pPr>
            <w:r w:rsidRPr="00891CE9">
              <w:t>This column</w:t>
            </w:r>
            <w:r>
              <w:t>,</w:t>
            </w:r>
            <w:r w:rsidRPr="00891CE9">
              <w:t xml:space="preserve"> with Content Damage Percentage</w:t>
            </w:r>
            <w:r>
              <w:t>, can be used</w:t>
            </w:r>
            <w:r w:rsidRPr="00891CE9">
              <w:t xml:space="preserve"> to </w:t>
            </w:r>
            <w:r>
              <w:t>assess</w:t>
            </w:r>
            <w:r w:rsidRPr="00891CE9">
              <w:t xml:space="preserve"> the potential content damage for each building.</w:t>
            </w:r>
          </w:p>
        </w:tc>
      </w:tr>
      <w:tr w:rsidR="000D4961" w:rsidRPr="00525E90" w14:paraId="039CF2E4" w14:textId="77777777" w:rsidTr="000D4961">
        <w:tc>
          <w:tcPr>
            <w:tcW w:w="1007" w:type="dxa"/>
          </w:tcPr>
          <w:p w14:paraId="1C61ACBE" w14:textId="62CBA2DF" w:rsidR="000D4961" w:rsidRDefault="000D4961" w:rsidP="000D4961">
            <w:pPr>
              <w:pStyle w:val="FEMATableText"/>
              <w:spacing w:before="96" w:after="96"/>
            </w:pPr>
            <w:r>
              <w:t>CQ</w:t>
            </w:r>
          </w:p>
        </w:tc>
        <w:tc>
          <w:tcPr>
            <w:tcW w:w="2589" w:type="dxa"/>
          </w:tcPr>
          <w:p w14:paraId="6A2CC2DF" w14:textId="0F67E640" w:rsidR="000D4961" w:rsidRDefault="000D4961" w:rsidP="000D4961">
            <w:pPr>
              <w:pStyle w:val="FEMATableText"/>
              <w:spacing w:before="96" w:after="96"/>
            </w:pPr>
            <w:r>
              <w:t>Inventory Damage Percentage</w:t>
            </w:r>
          </w:p>
        </w:tc>
        <w:tc>
          <w:tcPr>
            <w:tcW w:w="7184" w:type="dxa"/>
          </w:tcPr>
          <w:p w14:paraId="523CDAA6" w14:textId="1E89C714" w:rsidR="000D4961" w:rsidRPr="00525E90" w:rsidRDefault="000D4961" w:rsidP="000D4961">
            <w:pPr>
              <w:pStyle w:val="FEMATableText"/>
              <w:spacing w:before="96" w:after="96"/>
            </w:pPr>
            <w:r w:rsidRPr="00891CE9">
              <w:t>This column</w:t>
            </w:r>
            <w:r>
              <w:t>,</w:t>
            </w:r>
            <w:r w:rsidRPr="00891CE9">
              <w:t xml:space="preserve"> with Inventory Dollar Loss</w:t>
            </w:r>
            <w:r>
              <w:t>, can be used</w:t>
            </w:r>
            <w:r w:rsidRPr="00891CE9">
              <w:t xml:space="preserve"> to </w:t>
            </w:r>
            <w:r>
              <w:t>assess</w:t>
            </w:r>
            <w:r w:rsidRPr="00891CE9">
              <w:t xml:space="preserve"> the potential loss of inventory for businesses in the floodplain.</w:t>
            </w:r>
          </w:p>
        </w:tc>
      </w:tr>
      <w:tr w:rsidR="000D4961" w:rsidRPr="00525E90" w14:paraId="75B1C284" w14:textId="77777777" w:rsidTr="000D4961">
        <w:tc>
          <w:tcPr>
            <w:tcW w:w="1007" w:type="dxa"/>
          </w:tcPr>
          <w:p w14:paraId="1A1FB31E" w14:textId="2295A015" w:rsidR="000D4961" w:rsidRDefault="000D4961" w:rsidP="000D4961">
            <w:pPr>
              <w:pStyle w:val="FEMATableText"/>
              <w:spacing w:before="96" w:after="96"/>
            </w:pPr>
            <w:r>
              <w:t>CR</w:t>
            </w:r>
          </w:p>
        </w:tc>
        <w:tc>
          <w:tcPr>
            <w:tcW w:w="2589" w:type="dxa"/>
          </w:tcPr>
          <w:p w14:paraId="4D2744D6" w14:textId="2025D88B" w:rsidR="000D4961" w:rsidRDefault="000D4961" w:rsidP="000D4961">
            <w:pPr>
              <w:pStyle w:val="FEMATableText"/>
              <w:spacing w:before="96" w:after="96"/>
            </w:pPr>
            <w:r>
              <w:t>Inventory Dollar Loss</w:t>
            </w:r>
          </w:p>
        </w:tc>
        <w:tc>
          <w:tcPr>
            <w:tcW w:w="7184" w:type="dxa"/>
          </w:tcPr>
          <w:p w14:paraId="7688B5C2" w14:textId="70CE4345" w:rsidR="000D4961" w:rsidRPr="00525E90" w:rsidRDefault="000D4961" w:rsidP="000D4961">
            <w:pPr>
              <w:pStyle w:val="FEMATableText"/>
              <w:spacing w:before="96" w:after="96"/>
            </w:pPr>
            <w:r w:rsidRPr="00891CE9">
              <w:t>This column</w:t>
            </w:r>
            <w:r>
              <w:t>,</w:t>
            </w:r>
            <w:r w:rsidRPr="00891CE9">
              <w:t xml:space="preserve"> with Inventory Damage Percentage</w:t>
            </w:r>
            <w:r>
              <w:t>, can be used</w:t>
            </w:r>
            <w:r w:rsidRPr="00891CE9">
              <w:t xml:space="preserve"> to </w:t>
            </w:r>
            <w:r>
              <w:t>assess</w:t>
            </w:r>
            <w:r w:rsidRPr="00891CE9">
              <w:t xml:space="preserve"> the potential loss of inventory for businesses in the floodplain.</w:t>
            </w:r>
          </w:p>
        </w:tc>
      </w:tr>
      <w:tr w:rsidR="000D4961" w:rsidRPr="00525E90" w14:paraId="30635081" w14:textId="77777777" w:rsidTr="000D4961">
        <w:tc>
          <w:tcPr>
            <w:tcW w:w="1007" w:type="dxa"/>
          </w:tcPr>
          <w:p w14:paraId="666B848C" w14:textId="492A6C67" w:rsidR="000D4961" w:rsidRDefault="000D4961" w:rsidP="000D4961">
            <w:pPr>
              <w:pStyle w:val="FEMATableText"/>
              <w:spacing w:before="96" w:after="96"/>
            </w:pPr>
            <w:r>
              <w:t>CW</w:t>
            </w:r>
          </w:p>
        </w:tc>
        <w:tc>
          <w:tcPr>
            <w:tcW w:w="2589" w:type="dxa"/>
          </w:tcPr>
          <w:p w14:paraId="45C8DA75" w14:textId="390A06BC" w:rsidR="000D4961" w:rsidRDefault="000D4961" w:rsidP="000D4961">
            <w:pPr>
              <w:pStyle w:val="FEMATableText"/>
              <w:spacing w:before="96" w:after="96"/>
            </w:pPr>
            <w:r>
              <w:t>Debris Removal Total</w:t>
            </w:r>
          </w:p>
        </w:tc>
        <w:tc>
          <w:tcPr>
            <w:tcW w:w="7184" w:type="dxa"/>
          </w:tcPr>
          <w:p w14:paraId="45718E0D" w14:textId="71666CE0" w:rsidR="000D4961" w:rsidRPr="00525E90" w:rsidRDefault="00DD6691" w:rsidP="000D4961">
            <w:pPr>
              <w:pStyle w:val="FEMATableText"/>
              <w:spacing w:before="96" w:after="96"/>
            </w:pPr>
            <w:r w:rsidRPr="00891CE9">
              <w:t>This column shows the tons of debris that a building</w:t>
            </w:r>
            <w:r>
              <w:t xml:space="preserve"> </w:t>
            </w:r>
            <w:r w:rsidRPr="00891CE9">
              <w:t xml:space="preserve">could generate </w:t>
            </w:r>
            <w:r>
              <w:t>in</w:t>
            </w:r>
            <w:r w:rsidRPr="00891CE9">
              <w:t xml:space="preserve"> the 1%-annual-chance flood. The debris total </w:t>
            </w:r>
            <w:r>
              <w:t>is based on</w:t>
            </w:r>
            <w:r w:rsidRPr="00891CE9">
              <w:t xml:space="preserve"> a “substantially damaged” structure</w:t>
            </w:r>
            <w:r>
              <w:t xml:space="preserve">. This is </w:t>
            </w:r>
            <w:r w:rsidRPr="00891CE9">
              <w:t xml:space="preserve">one </w:t>
            </w:r>
            <w:r>
              <w:t xml:space="preserve">that </w:t>
            </w:r>
            <w:r w:rsidRPr="00891CE9">
              <w:t xml:space="preserve">experiences </w:t>
            </w:r>
            <w:r>
              <w:t xml:space="preserve">a loss </w:t>
            </w:r>
            <w:r w:rsidRPr="00891CE9">
              <w:t>greater than 50 percent</w:t>
            </w:r>
            <w:r>
              <w:t>. It assumes that the building</w:t>
            </w:r>
            <w:r w:rsidRPr="00891CE9">
              <w:t xml:space="preserve"> is torn down and replaced. </w:t>
            </w:r>
            <w:r w:rsidR="000D4961">
              <w:t xml:space="preserve">This </w:t>
            </w:r>
            <w:r w:rsidR="000D4961" w:rsidRPr="00891CE9">
              <w:t xml:space="preserve">can </w:t>
            </w:r>
            <w:r w:rsidR="000D4961">
              <w:t>help assess</w:t>
            </w:r>
            <w:r w:rsidR="000D4961" w:rsidRPr="00891CE9">
              <w:t xml:space="preserve"> how flooding at the site could disrupt the community.</w:t>
            </w:r>
          </w:p>
        </w:tc>
      </w:tr>
      <w:tr w:rsidR="000D4961" w:rsidRPr="00525E90" w14:paraId="68B7DB1A" w14:textId="77777777" w:rsidTr="000D4961">
        <w:tc>
          <w:tcPr>
            <w:tcW w:w="1007" w:type="dxa"/>
          </w:tcPr>
          <w:p w14:paraId="731FD782" w14:textId="7EE4EAA7" w:rsidR="000D4961" w:rsidRDefault="000D4961" w:rsidP="000D4961">
            <w:pPr>
              <w:pStyle w:val="FEMATableText"/>
              <w:spacing w:before="96" w:after="96"/>
            </w:pPr>
            <w:r>
              <w:t>CY</w:t>
            </w:r>
          </w:p>
        </w:tc>
        <w:tc>
          <w:tcPr>
            <w:tcW w:w="2589" w:type="dxa"/>
          </w:tcPr>
          <w:p w14:paraId="279B8340" w14:textId="1F0217B9" w:rsidR="000D4961" w:rsidRDefault="000D4961" w:rsidP="000D4961">
            <w:pPr>
              <w:pStyle w:val="FEMATableText"/>
              <w:spacing w:before="96" w:after="96"/>
            </w:pPr>
            <w:r>
              <w:t>Maximum Restoration Time</w:t>
            </w:r>
          </w:p>
        </w:tc>
        <w:tc>
          <w:tcPr>
            <w:tcW w:w="7184" w:type="dxa"/>
          </w:tcPr>
          <w:p w14:paraId="1406ECD1" w14:textId="54921805" w:rsidR="000D4961" w:rsidRPr="00525E90" w:rsidRDefault="00DD6691" w:rsidP="000D4961">
            <w:pPr>
              <w:pStyle w:val="FEMATableText"/>
              <w:spacing w:before="96" w:after="96"/>
            </w:pPr>
            <w:r w:rsidRPr="00891CE9">
              <w:t xml:space="preserve">This column shows </w:t>
            </w:r>
            <w:r>
              <w:t xml:space="preserve">the </w:t>
            </w:r>
            <w:r w:rsidRPr="00891CE9">
              <w:t xml:space="preserve">maximum number of days to restore a building after a 1%-annual-chance flood. This estimate also assumes that a “substantially damaged” structure is torn down and replaced. </w:t>
            </w:r>
            <w:r w:rsidR="000D4961" w:rsidRPr="00891CE9">
              <w:t xml:space="preserve">It </w:t>
            </w:r>
            <w:r w:rsidR="000D4961">
              <w:t>is another way</w:t>
            </w:r>
            <w:r w:rsidR="000D4961" w:rsidRPr="00891CE9">
              <w:t xml:space="preserve"> to </w:t>
            </w:r>
            <w:r w:rsidR="000D4961">
              <w:t>assess</w:t>
            </w:r>
            <w:r w:rsidR="000D4961" w:rsidRPr="00891CE9">
              <w:t xml:space="preserve"> how flooding at the site could disrupt the community.</w:t>
            </w:r>
          </w:p>
        </w:tc>
      </w:tr>
    </w:tbl>
    <w:p w14:paraId="5954C61F" w14:textId="77777777" w:rsidR="006C0F8E" w:rsidRDefault="006C0F8E" w:rsidP="003C1CF7">
      <w:pPr>
        <w:pStyle w:val="FEMANormal"/>
      </w:pPr>
    </w:p>
    <w:p w14:paraId="7C18093D" w14:textId="345157C7" w:rsidR="009F54B4" w:rsidRDefault="004767E1" w:rsidP="00301E24">
      <w:pPr>
        <w:pStyle w:val="FEMAHeading1"/>
        <w:numPr>
          <w:ilvl w:val="0"/>
          <w:numId w:val="0"/>
        </w:numPr>
      </w:pPr>
      <w:r>
        <w:t xml:space="preserve">Step 3: </w:t>
      </w:r>
      <w:r w:rsidR="00301E24">
        <w:t xml:space="preserve">Add Local Context </w:t>
      </w:r>
    </w:p>
    <w:p w14:paraId="1E5642C0" w14:textId="489579F5" w:rsidR="00DD6691" w:rsidRDefault="00DD6691" w:rsidP="00DD6691">
      <w:pPr>
        <w:pStyle w:val="FEMANormal"/>
      </w:pPr>
      <w:r>
        <w:t>The result of the step above will be a table that shows the at-risk</w:t>
      </w:r>
      <w:r w:rsidRPr="00912DC5">
        <w:t xml:space="preserve"> </w:t>
      </w:r>
      <w:r w:rsidR="00F95273" w:rsidRPr="00912DC5">
        <w:t>significant structures</w:t>
      </w:r>
      <w:r w:rsidRPr="00912DC5">
        <w:t xml:space="preserve">. It will also have key information on potential flood impacts from the Statewide Risk Assessment. The final step is to use local knowledge to assess the full range of possible impacts for each </w:t>
      </w:r>
      <w:r w:rsidR="008079D3" w:rsidRPr="00912DC5">
        <w:t>significant structure</w:t>
      </w:r>
      <w:r w:rsidRPr="00912DC5">
        <w:t>. “Impacts,” in hazard mitigation planning, are the effects of a hazard on the people, economy, and built and natural environments of a community. The Statewide Risk Assessment focuses on impacts to the built environment. Planning teams must also consider the potential impacts on the health, safety, and livelihoods of the people in the com</w:t>
      </w:r>
      <w:r>
        <w:t xml:space="preserve">munity. </w:t>
      </w:r>
    </w:p>
    <w:p w14:paraId="6E4B85F5" w14:textId="251DCA51" w:rsidR="00DD6691" w:rsidRDefault="00DD6691" w:rsidP="00DD6691">
      <w:pPr>
        <w:pStyle w:val="FEMANormal"/>
      </w:pPr>
      <w:r>
        <w:t>There are many ways to add local context to the results of the Statewide Risk Assessment. One way is to add one or two new colum</w:t>
      </w:r>
      <w:r w:rsidRPr="00912DC5">
        <w:t xml:space="preserve">ns to the </w:t>
      </w:r>
      <w:r w:rsidR="00A82DE1" w:rsidRPr="00912DC5">
        <w:t>significant structure</w:t>
      </w:r>
      <w:r w:rsidRPr="00912DC5">
        <w:t xml:space="preserve"> table. This can document the input from local stakeholders. For example, one column could address health and s</w:t>
      </w:r>
      <w:r>
        <w:t xml:space="preserve">afety impacts. Another could address economic impacts. Plan owners and their consultants can help local stakeholders participate in gathering this local information. Such a process could use the WV Flood Tool link, as well as selected building characteristics. “Owner Name,” “General </w:t>
      </w:r>
      <w:r>
        <w:lastRenderedPageBreak/>
        <w:t>Occupancy Code,” and “Critical Infrastructure” can help orient stakeholders to each at-risk asset. The team could also use discussion questions to help draw out information on the impacts of past and potential floods. These questions could include the following:</w:t>
      </w:r>
    </w:p>
    <w:p w14:paraId="625EE969" w14:textId="5B399E1A" w:rsidR="00DD6691" w:rsidRPr="00912DC5" w:rsidRDefault="00DD6691" w:rsidP="00DD6691">
      <w:pPr>
        <w:pStyle w:val="FEMABullet-1"/>
      </w:pPr>
      <w:r>
        <w:t>What is thi</w:t>
      </w:r>
      <w:r w:rsidRPr="00912DC5">
        <w:t xml:space="preserve">s </w:t>
      </w:r>
      <w:r w:rsidR="008079D3" w:rsidRPr="00912DC5">
        <w:t>significant structure</w:t>
      </w:r>
      <w:r w:rsidRPr="00912DC5">
        <w:t xml:space="preserve"> and how does it serve the community?</w:t>
      </w:r>
    </w:p>
    <w:p w14:paraId="6E2D4014" w14:textId="4858A7CA" w:rsidR="00DD6691" w:rsidRPr="00912DC5" w:rsidRDefault="00DD6691" w:rsidP="00DD6691">
      <w:pPr>
        <w:pStyle w:val="FEMABullet-1"/>
      </w:pPr>
      <w:r w:rsidRPr="00912DC5">
        <w:t xml:space="preserve">Who are the people served by this </w:t>
      </w:r>
      <w:r w:rsidR="008079D3" w:rsidRPr="00912DC5">
        <w:t>significant structure</w:t>
      </w:r>
      <w:r w:rsidRPr="00912DC5">
        <w:t>? Do they include any socially vulnerable groups?</w:t>
      </w:r>
    </w:p>
    <w:p w14:paraId="59001E6C" w14:textId="100DCE0F" w:rsidR="00DD6691" w:rsidRPr="00912DC5" w:rsidRDefault="00DD6691" w:rsidP="00DD6691">
      <w:pPr>
        <w:pStyle w:val="FEMABullet-1"/>
      </w:pPr>
      <w:r w:rsidRPr="00912DC5">
        <w:t xml:space="preserve">Has this </w:t>
      </w:r>
      <w:r w:rsidR="008079D3" w:rsidRPr="00912DC5">
        <w:t>significant structure</w:t>
      </w:r>
      <w:r w:rsidRPr="00912DC5">
        <w:t xml:space="preserve"> ever been damaged by flooding? </w:t>
      </w:r>
    </w:p>
    <w:p w14:paraId="749C0972" w14:textId="77777777" w:rsidR="00DD6691" w:rsidRPr="00912DC5" w:rsidRDefault="00DD6691" w:rsidP="00DD6691">
      <w:pPr>
        <w:pStyle w:val="FEMABullet-1"/>
      </w:pPr>
      <w:r w:rsidRPr="00912DC5">
        <w:t>If so, did it affect the “day-to-day” activities of the community? Did it limit the ability to access essential services?</w:t>
      </w:r>
    </w:p>
    <w:p w14:paraId="2123500E" w14:textId="77777777" w:rsidR="00DD6691" w:rsidRDefault="00DD6691" w:rsidP="00DD6691">
      <w:pPr>
        <w:pStyle w:val="FEMABullet-1"/>
      </w:pPr>
      <w:r w:rsidRPr="00912DC5">
        <w:t>If a future disaster took this asset offline, how would that affect the “day-to-day</w:t>
      </w:r>
      <w:r>
        <w:t xml:space="preserve">” activities of the community? </w:t>
      </w:r>
    </w:p>
    <w:p w14:paraId="62C2E374" w14:textId="1B8E90E3" w:rsidR="00DD6691" w:rsidRDefault="00DD6691" w:rsidP="00DD6691">
      <w:pPr>
        <w:pStyle w:val="FEMANormal"/>
      </w:pPr>
      <w:r>
        <w:t>The team cou</w:t>
      </w:r>
      <w:r w:rsidRPr="00912DC5">
        <w:t xml:space="preserve">ld document the local input gathered in this way in the </w:t>
      </w:r>
      <w:r w:rsidR="00E77834" w:rsidRPr="00912DC5">
        <w:t>significant structure</w:t>
      </w:r>
      <w:r w:rsidRPr="00912DC5">
        <w:t xml:space="preserve"> table’s new columns. The final output will be a table of key </w:t>
      </w:r>
      <w:r w:rsidR="00F95273" w:rsidRPr="00912DC5">
        <w:t>significant structures</w:t>
      </w:r>
      <w:r w:rsidRPr="00912DC5">
        <w:t xml:space="preserve"> that are at risk from flooding. The table will include a full range of potential impacts. The planning team can use this information to highlight any </w:t>
      </w:r>
      <w:r w:rsidR="00F95273" w:rsidRPr="00912DC5">
        <w:t>significant structures</w:t>
      </w:r>
      <w:r w:rsidRPr="00912DC5">
        <w:t xml:space="preserve"> that need attention. It can also use it to drive local action. Do you want information on using these outputs to update local priorities and mitigation actions? See the third fact sheet in the series: </w:t>
      </w:r>
      <w:r w:rsidRPr="00912DC5">
        <w:rPr>
          <w:i/>
          <w:iCs/>
        </w:rPr>
        <w:t>West Virginia Statewide Risk Assessment: Prioritiz</w:t>
      </w:r>
      <w:r w:rsidR="00B02CE7" w:rsidRPr="00912DC5">
        <w:rPr>
          <w:i/>
          <w:iCs/>
        </w:rPr>
        <w:t>e</w:t>
      </w:r>
      <w:r w:rsidRPr="00912DC5">
        <w:rPr>
          <w:i/>
          <w:iCs/>
        </w:rPr>
        <w:t xml:space="preserve"> </w:t>
      </w:r>
      <w:r w:rsidR="008079D3" w:rsidRPr="00912DC5">
        <w:rPr>
          <w:i/>
          <w:iCs/>
        </w:rPr>
        <w:t>At-Risk Significant Structures</w:t>
      </w:r>
      <w:r w:rsidRPr="00912DC5">
        <w:rPr>
          <w:i/>
          <w:iCs/>
        </w:rPr>
        <w:t>.</w:t>
      </w:r>
    </w:p>
    <w:p w14:paraId="3503CB29" w14:textId="77777777" w:rsidR="00A02833" w:rsidRPr="00A02833" w:rsidRDefault="00A02833" w:rsidP="00DD6691">
      <w:pPr>
        <w:pStyle w:val="FEMANormal"/>
      </w:pPr>
    </w:p>
    <w:sectPr w:rsidR="00A02833" w:rsidRPr="00A02833" w:rsidSect="00C95C31">
      <w:headerReference w:type="default" r:id="rId14"/>
      <w:footerReference w:type="default" r:id="rId15"/>
      <w:headerReference w:type="first" r:id="rId16"/>
      <w:footerReference w:type="first" r:id="rId17"/>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6992" w14:textId="77777777" w:rsidR="00B906D2" w:rsidRDefault="00B906D2" w:rsidP="00141604">
      <w:r>
        <w:separator/>
      </w:r>
    </w:p>
  </w:endnote>
  <w:endnote w:type="continuationSeparator" w:id="0">
    <w:p w14:paraId="330B9CE9" w14:textId="77777777" w:rsidR="00B906D2" w:rsidRDefault="00B906D2"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ITC Franklin Gothic Std Book">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46F62659" w:rsidR="00AF1EA3" w:rsidRPr="002C7113" w:rsidRDefault="008F0E60" w:rsidP="00DC603D">
    <w:pPr>
      <w:pStyle w:val="FEMAFooter"/>
      <w:tabs>
        <w:tab w:val="clear" w:pos="6480"/>
      </w:tabs>
    </w:pPr>
    <w:r w:rsidRPr="002C7113">
      <w:t>Learn more at fema.gov</w:t>
    </w:r>
    <w:r w:rsidR="000948F3">
      <w:tab/>
    </w:r>
    <w:r w:rsidR="00A42E82">
      <w:t>March 2024</w:t>
    </w:r>
    <w:r w:rsidR="00DC603D">
      <w:t xml:space="preserve">    </w:t>
    </w:r>
    <w:r w:rsidRPr="002C7113">
      <w:fldChar w:fldCharType="begin"/>
    </w:r>
    <w:r w:rsidRPr="002C7113">
      <w:instrText xml:space="preserve"> PAGE </w:instrText>
    </w:r>
    <w:r w:rsidRPr="002C7113">
      <w:fldChar w:fldCharType="separate"/>
    </w:r>
    <w:r w:rsidR="000868D8">
      <w:t>3</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16DF4F4C" w:rsidR="008F0E60" w:rsidRPr="002C7113" w:rsidRDefault="001B3835" w:rsidP="00C95C31">
    <w:pPr>
      <w:pStyle w:val="FEMAFooter"/>
      <w:tabs>
        <w:tab w:val="clear" w:pos="6480"/>
      </w:tabs>
    </w:pPr>
    <w:r>
      <w:drawing>
        <wp:inline distT="0" distB="0" distL="0" distR="0" wp14:anchorId="3C2783DD" wp14:editId="50E600DE">
          <wp:extent cx="2487967" cy="1024128"/>
          <wp:effectExtent l="0" t="0" r="0" b="5080"/>
          <wp:docPr id="1" name="Picture 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1"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r>
    <w:r w:rsidR="00A42E82">
      <w:t>March 2024</w:t>
    </w:r>
    <w:r w:rsidR="00C95C31">
      <w:t xml:space="preserve">   </w:t>
    </w:r>
    <w:r w:rsidR="008F0E60" w:rsidRPr="002C7113">
      <w:fldChar w:fldCharType="begin"/>
    </w:r>
    <w:r w:rsidR="008F0E60" w:rsidRPr="002C7113">
      <w:instrText xml:space="preserve"> PAGE </w:instrText>
    </w:r>
    <w:r w:rsidR="008F0E60" w:rsidRPr="002C7113">
      <w:fldChar w:fldCharType="separate"/>
    </w:r>
    <w:r w:rsidR="00CA346B">
      <w:t>1</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4712" w14:textId="77777777" w:rsidR="00B906D2" w:rsidRDefault="00B906D2" w:rsidP="00141604">
      <w:pPr>
        <w:pStyle w:val="FEMANormal"/>
      </w:pPr>
      <w:r>
        <w:separator/>
      </w:r>
    </w:p>
  </w:footnote>
  <w:footnote w:type="continuationSeparator" w:id="0">
    <w:p w14:paraId="1900788E" w14:textId="77777777" w:rsidR="00B906D2" w:rsidRDefault="00B906D2" w:rsidP="00141604">
      <w:pPr>
        <w:pStyle w:val="FEMANormal"/>
      </w:pPr>
      <w:r>
        <w:continuationSeparator/>
      </w:r>
    </w:p>
  </w:footnote>
  <w:footnote w:type="continuationNotice" w:id="1">
    <w:p w14:paraId="0717D687" w14:textId="77777777" w:rsidR="00B906D2" w:rsidRDefault="00B906D2"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3AB5D25C" w:rsidR="00626613" w:rsidRPr="00693EDE" w:rsidRDefault="00F16F91" w:rsidP="00F16F91">
    <w:pPr>
      <w:pStyle w:val="Header"/>
      <w:rPr>
        <w:color w:val="FF0000"/>
      </w:rPr>
    </w:pPr>
    <w:r w:rsidRPr="00F16F91">
      <w:rPr>
        <w:rFonts w:asciiTheme="minorHAnsi" w:hAnsiTheme="minorHAnsi" w:cs="Arial"/>
        <w:color w:val="828284"/>
        <w:sz w:val="20"/>
        <w:szCs w:val="18"/>
      </w:rPr>
      <w:t xml:space="preserve">West Virginia Statewide Risk Assessment: Identify Vulnerable </w:t>
    </w:r>
    <w:r w:rsidR="00693EDE" w:rsidRPr="00912DC5">
      <w:rPr>
        <w:rFonts w:asciiTheme="minorHAnsi" w:hAnsiTheme="minorHAnsi" w:cs="Arial"/>
        <w:color w:val="828284"/>
        <w:sz w:val="20"/>
        <w:szCs w:val="18"/>
      </w:rPr>
      <w:t>At-Risk Significant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E61" w14:textId="398B2846" w:rsidR="00150673" w:rsidRPr="002C7113" w:rsidRDefault="00F16F91" w:rsidP="00C4671F">
    <w:pPr>
      <w:pStyle w:val="FEMAHeader-FACTSHEETFIRSTPAGE"/>
    </w:pPr>
    <w:r>
      <w:t xml:space="preserve">West Virginia Statewide Risk Assessment: Identify </w:t>
    </w:r>
    <w:r w:rsidR="00693EDE" w:rsidRPr="00912DC5">
      <w:t>At-Risk Significant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6018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5A9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00A220"/>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56F2DF5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DA4173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30A076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1E7F29EA"/>
    <w:multiLevelType w:val="hybridMultilevel"/>
    <w:tmpl w:val="A2BCA4C6"/>
    <w:lvl w:ilvl="0" w:tplc="9364F8E2">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1EFB"/>
    <w:multiLevelType w:val="hybridMultilevel"/>
    <w:tmpl w:val="1D362824"/>
    <w:lvl w:ilvl="0" w:tplc="43E4EC00">
      <w:start w:val="1"/>
      <w:numFmt w:val="decimal"/>
      <w:pStyle w:val="FEMANumbering"/>
      <w:lvlText w:val="%1."/>
      <w:lvlJc w:val="left"/>
      <w:pPr>
        <w:ind w:left="360" w:hanging="360"/>
      </w:pPr>
      <w:rPr>
        <w:rFonts w:asciiTheme="minorHAnsi" w:hAnsiTheme="minorHAnsi" w:hint="default"/>
        <w:b w:val="0"/>
        <w:bCs/>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117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266E1"/>
    <w:multiLevelType w:val="multilevel"/>
    <w:tmpl w:val="7F042B8A"/>
    <w:lvl w:ilvl="0">
      <w:start w:val="1"/>
      <w:numFmt w:val="bullet"/>
      <w:pStyle w:val="Bullet"/>
      <w:lvlText w:val=""/>
      <w:lvlJc w:val="left"/>
      <w:pPr>
        <w:ind w:left="360" w:hanging="360"/>
      </w:pPr>
      <w:rPr>
        <w:rFonts w:ascii="Wingdings" w:hAnsi="Wingdings" w:hint="default"/>
        <w:color w:val="000000" w:themeColor="text1"/>
        <w:sz w:val="24"/>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rPr>
    </w:lvl>
    <w:lvl w:ilvl="5">
      <w:start w:val="1"/>
      <w:numFmt w:val="bullet"/>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Times New Roman" w:hAnsi="Times New Roman" w:cs="Times New Roman" w:hint="default"/>
      </w:rPr>
    </w:lvl>
    <w:lvl w:ilvl="7">
      <w:start w:val="1"/>
      <w:numFmt w:val="bullet"/>
      <w:lvlText w:val="−"/>
      <w:lvlJc w:val="left"/>
      <w:pPr>
        <w:tabs>
          <w:tab w:val="num" w:pos="2520"/>
        </w:tabs>
        <w:ind w:left="2520" w:hanging="360"/>
      </w:pPr>
      <w:rPr>
        <w:rFonts w:ascii="Times New Roman" w:hAnsi="Times New Roman" w:cs="Times New Roman" w:hint="default"/>
      </w:rPr>
    </w:lvl>
    <w:lvl w:ilvl="8">
      <w:start w:val="1"/>
      <w:numFmt w:val="bullet"/>
      <w:lvlText w:val=""/>
      <w:lvlJc w:val="left"/>
      <w:pPr>
        <w:tabs>
          <w:tab w:val="num" w:pos="2880"/>
        </w:tabs>
        <w:ind w:left="2880" w:hanging="360"/>
      </w:pPr>
      <w:rPr>
        <w:rFonts w:ascii="Wingdings" w:hAnsi="Wingdings" w:hint="default"/>
      </w:rPr>
    </w:lvl>
  </w:abstractNum>
  <w:abstractNum w:abstractNumId="21"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3"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6"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9"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9"/>
  </w:num>
  <w:num w:numId="2">
    <w:abstractNumId w:val="20"/>
  </w:num>
  <w:num w:numId="3">
    <w:abstractNumId w:val="21"/>
  </w:num>
  <w:num w:numId="4">
    <w:abstractNumId w:val="13"/>
  </w:num>
  <w:num w:numId="5">
    <w:abstractNumId w:val="17"/>
  </w:num>
  <w:num w:numId="6">
    <w:abstractNumId w:val="10"/>
  </w:num>
  <w:num w:numId="7">
    <w:abstractNumId w:val="14"/>
  </w:num>
  <w:num w:numId="8">
    <w:abstractNumId w:val="12"/>
  </w:num>
  <w:num w:numId="9">
    <w:abstractNumId w:val="22"/>
  </w:num>
  <w:num w:numId="10">
    <w:abstractNumId w:val="23"/>
  </w:num>
  <w:num w:numId="11">
    <w:abstractNumId w:val="29"/>
  </w:num>
  <w:num w:numId="12">
    <w:abstractNumId w:val="16"/>
  </w:num>
  <w:num w:numId="13">
    <w:abstractNumId w:val="26"/>
  </w:num>
  <w:num w:numId="14">
    <w:abstractNumId w:val="7"/>
  </w:num>
  <w:num w:numId="15">
    <w:abstractNumId w:val="6"/>
  </w:num>
  <w:num w:numId="16">
    <w:abstractNumId w:val="28"/>
  </w:num>
  <w:num w:numId="17">
    <w:abstractNumId w:val="9"/>
  </w:num>
  <w:num w:numId="18">
    <w:abstractNumId w:val="25"/>
  </w:num>
  <w:num w:numId="19">
    <w:abstractNumId w:val="27"/>
  </w:num>
  <w:num w:numId="20">
    <w:abstractNumId w:val="15"/>
  </w:num>
  <w:num w:numId="21">
    <w:abstractNumId w:val="24"/>
  </w:num>
  <w:num w:numId="22">
    <w:abstractNumId w:val="18"/>
  </w:num>
  <w:num w:numId="23">
    <w:abstractNumId w:val="8"/>
  </w:num>
  <w:num w:numId="24">
    <w:abstractNumId w:val="5"/>
  </w:num>
  <w:num w:numId="25">
    <w:abstractNumId w:val="4"/>
  </w:num>
  <w:num w:numId="26">
    <w:abstractNumId w:val="3"/>
  </w:num>
  <w:num w:numId="27">
    <w:abstractNumId w:val="2"/>
  </w:num>
  <w:num w:numId="28">
    <w:abstractNumId w:val="1"/>
  </w:num>
  <w:num w:numId="29">
    <w:abstractNumId w:val="0"/>
  </w:num>
  <w:num w:numId="30">
    <w:abstractNumId w:val="11"/>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94"/>
    <w:rsid w:val="00000C74"/>
    <w:rsid w:val="000020BB"/>
    <w:rsid w:val="000021BD"/>
    <w:rsid w:val="00004F6D"/>
    <w:rsid w:val="00004F90"/>
    <w:rsid w:val="00005F6B"/>
    <w:rsid w:val="00007276"/>
    <w:rsid w:val="00021087"/>
    <w:rsid w:val="000241D2"/>
    <w:rsid w:val="0002448E"/>
    <w:rsid w:val="00025538"/>
    <w:rsid w:val="000449F6"/>
    <w:rsid w:val="0004626A"/>
    <w:rsid w:val="00046982"/>
    <w:rsid w:val="0005184C"/>
    <w:rsid w:val="00062813"/>
    <w:rsid w:val="00071683"/>
    <w:rsid w:val="00075BD6"/>
    <w:rsid w:val="00077C29"/>
    <w:rsid w:val="00085E59"/>
    <w:rsid w:val="000868D8"/>
    <w:rsid w:val="000903A4"/>
    <w:rsid w:val="00092433"/>
    <w:rsid w:val="00092D33"/>
    <w:rsid w:val="000948F3"/>
    <w:rsid w:val="000A04EA"/>
    <w:rsid w:val="000B0EBC"/>
    <w:rsid w:val="000C6874"/>
    <w:rsid w:val="000C785C"/>
    <w:rsid w:val="000C7B2D"/>
    <w:rsid w:val="000D0AE9"/>
    <w:rsid w:val="000D2F13"/>
    <w:rsid w:val="000D2F79"/>
    <w:rsid w:val="000D4961"/>
    <w:rsid w:val="000E334C"/>
    <w:rsid w:val="000E4758"/>
    <w:rsid w:val="000F1C11"/>
    <w:rsid w:val="00101FB7"/>
    <w:rsid w:val="00102397"/>
    <w:rsid w:val="001025A3"/>
    <w:rsid w:val="00107850"/>
    <w:rsid w:val="00116694"/>
    <w:rsid w:val="00120055"/>
    <w:rsid w:val="00120D97"/>
    <w:rsid w:val="00124678"/>
    <w:rsid w:val="00126232"/>
    <w:rsid w:val="001361E8"/>
    <w:rsid w:val="00136E88"/>
    <w:rsid w:val="00137310"/>
    <w:rsid w:val="00141604"/>
    <w:rsid w:val="00141C47"/>
    <w:rsid w:val="00150673"/>
    <w:rsid w:val="00150ACA"/>
    <w:rsid w:val="00153562"/>
    <w:rsid w:val="00155571"/>
    <w:rsid w:val="00156B5B"/>
    <w:rsid w:val="00166B1A"/>
    <w:rsid w:val="001679FC"/>
    <w:rsid w:val="00170443"/>
    <w:rsid w:val="00175225"/>
    <w:rsid w:val="001803A7"/>
    <w:rsid w:val="0018304A"/>
    <w:rsid w:val="00183A81"/>
    <w:rsid w:val="00187564"/>
    <w:rsid w:val="00187AF6"/>
    <w:rsid w:val="00191BD4"/>
    <w:rsid w:val="00191F51"/>
    <w:rsid w:val="00195FF9"/>
    <w:rsid w:val="001A0810"/>
    <w:rsid w:val="001A3F26"/>
    <w:rsid w:val="001A4193"/>
    <w:rsid w:val="001B3835"/>
    <w:rsid w:val="001B3AD8"/>
    <w:rsid w:val="001B599D"/>
    <w:rsid w:val="001B7CCD"/>
    <w:rsid w:val="001C627F"/>
    <w:rsid w:val="001D0349"/>
    <w:rsid w:val="001D0A34"/>
    <w:rsid w:val="001D6125"/>
    <w:rsid w:val="001D6272"/>
    <w:rsid w:val="001E4EA4"/>
    <w:rsid w:val="001F358C"/>
    <w:rsid w:val="001F4658"/>
    <w:rsid w:val="002016F6"/>
    <w:rsid w:val="00204A8A"/>
    <w:rsid w:val="00204D6A"/>
    <w:rsid w:val="00206A8E"/>
    <w:rsid w:val="0020789C"/>
    <w:rsid w:val="00214D7C"/>
    <w:rsid w:val="002320CB"/>
    <w:rsid w:val="00232214"/>
    <w:rsid w:val="002344B1"/>
    <w:rsid w:val="00235E01"/>
    <w:rsid w:val="00237BD2"/>
    <w:rsid w:val="00243B8D"/>
    <w:rsid w:val="00245F9A"/>
    <w:rsid w:val="00260FF4"/>
    <w:rsid w:val="00262C67"/>
    <w:rsid w:val="0026680C"/>
    <w:rsid w:val="00270FAB"/>
    <w:rsid w:val="00275412"/>
    <w:rsid w:val="0027559A"/>
    <w:rsid w:val="00276D0B"/>
    <w:rsid w:val="00286C52"/>
    <w:rsid w:val="00287D64"/>
    <w:rsid w:val="002A64C9"/>
    <w:rsid w:val="002A6D09"/>
    <w:rsid w:val="002B01C4"/>
    <w:rsid w:val="002B317E"/>
    <w:rsid w:val="002C0CD5"/>
    <w:rsid w:val="002C1C92"/>
    <w:rsid w:val="002C2BA9"/>
    <w:rsid w:val="002C7113"/>
    <w:rsid w:val="002D11BD"/>
    <w:rsid w:val="002D6A93"/>
    <w:rsid w:val="002E129B"/>
    <w:rsid w:val="002E1B5D"/>
    <w:rsid w:val="002F33F5"/>
    <w:rsid w:val="003007E3"/>
    <w:rsid w:val="00301077"/>
    <w:rsid w:val="00301E24"/>
    <w:rsid w:val="00304D24"/>
    <w:rsid w:val="003053B9"/>
    <w:rsid w:val="00306AF1"/>
    <w:rsid w:val="00307EF7"/>
    <w:rsid w:val="00311D2A"/>
    <w:rsid w:val="00315B69"/>
    <w:rsid w:val="0032333F"/>
    <w:rsid w:val="00326A6B"/>
    <w:rsid w:val="00334427"/>
    <w:rsid w:val="00343C33"/>
    <w:rsid w:val="00344470"/>
    <w:rsid w:val="00345B9D"/>
    <w:rsid w:val="00345F31"/>
    <w:rsid w:val="00346A5B"/>
    <w:rsid w:val="00351B82"/>
    <w:rsid w:val="0036078D"/>
    <w:rsid w:val="00362AF1"/>
    <w:rsid w:val="00373C7F"/>
    <w:rsid w:val="0038258E"/>
    <w:rsid w:val="00385134"/>
    <w:rsid w:val="00387A7D"/>
    <w:rsid w:val="00390112"/>
    <w:rsid w:val="003908A8"/>
    <w:rsid w:val="00392541"/>
    <w:rsid w:val="003A4420"/>
    <w:rsid w:val="003A6A2C"/>
    <w:rsid w:val="003B1D06"/>
    <w:rsid w:val="003C1CF7"/>
    <w:rsid w:val="003C2285"/>
    <w:rsid w:val="003C69A5"/>
    <w:rsid w:val="003D717A"/>
    <w:rsid w:val="003E310D"/>
    <w:rsid w:val="003E48B1"/>
    <w:rsid w:val="003E4AFC"/>
    <w:rsid w:val="003E7D80"/>
    <w:rsid w:val="003F1B95"/>
    <w:rsid w:val="003F6B06"/>
    <w:rsid w:val="00415574"/>
    <w:rsid w:val="0043282F"/>
    <w:rsid w:val="004373C1"/>
    <w:rsid w:val="00442F52"/>
    <w:rsid w:val="0044419E"/>
    <w:rsid w:val="00445582"/>
    <w:rsid w:val="00445B07"/>
    <w:rsid w:val="00452487"/>
    <w:rsid w:val="00453151"/>
    <w:rsid w:val="00457503"/>
    <w:rsid w:val="0046100F"/>
    <w:rsid w:val="0046270E"/>
    <w:rsid w:val="00465936"/>
    <w:rsid w:val="00465C4A"/>
    <w:rsid w:val="00466E07"/>
    <w:rsid w:val="004767E1"/>
    <w:rsid w:val="00482B2D"/>
    <w:rsid w:val="00485A5E"/>
    <w:rsid w:val="004916B6"/>
    <w:rsid w:val="0049793C"/>
    <w:rsid w:val="004A1501"/>
    <w:rsid w:val="004A7024"/>
    <w:rsid w:val="004A7431"/>
    <w:rsid w:val="004A773E"/>
    <w:rsid w:val="004B7B3F"/>
    <w:rsid w:val="004C04DB"/>
    <w:rsid w:val="004C59D1"/>
    <w:rsid w:val="004D10D8"/>
    <w:rsid w:val="004D2291"/>
    <w:rsid w:val="004D24A2"/>
    <w:rsid w:val="004D3548"/>
    <w:rsid w:val="004D6543"/>
    <w:rsid w:val="004E4087"/>
    <w:rsid w:val="004E64A5"/>
    <w:rsid w:val="004F27D5"/>
    <w:rsid w:val="004F479D"/>
    <w:rsid w:val="004F7143"/>
    <w:rsid w:val="00501D93"/>
    <w:rsid w:val="00503F38"/>
    <w:rsid w:val="00507837"/>
    <w:rsid w:val="00527C3A"/>
    <w:rsid w:val="005319DF"/>
    <w:rsid w:val="005368DF"/>
    <w:rsid w:val="00540103"/>
    <w:rsid w:val="005409A5"/>
    <w:rsid w:val="00541B7C"/>
    <w:rsid w:val="005427E2"/>
    <w:rsid w:val="005560AC"/>
    <w:rsid w:val="005642A1"/>
    <w:rsid w:val="00565FEE"/>
    <w:rsid w:val="00570EEA"/>
    <w:rsid w:val="005728AB"/>
    <w:rsid w:val="00573D62"/>
    <w:rsid w:val="00577EBA"/>
    <w:rsid w:val="005817D0"/>
    <w:rsid w:val="005826A4"/>
    <w:rsid w:val="00586985"/>
    <w:rsid w:val="00586BFB"/>
    <w:rsid w:val="00592EB0"/>
    <w:rsid w:val="005A23A5"/>
    <w:rsid w:val="005B0346"/>
    <w:rsid w:val="005B57A4"/>
    <w:rsid w:val="005C5561"/>
    <w:rsid w:val="005C679F"/>
    <w:rsid w:val="005D7469"/>
    <w:rsid w:val="005E0490"/>
    <w:rsid w:val="005E53A4"/>
    <w:rsid w:val="005E7757"/>
    <w:rsid w:val="005E7B6E"/>
    <w:rsid w:val="006008D0"/>
    <w:rsid w:val="00600DCC"/>
    <w:rsid w:val="00601935"/>
    <w:rsid w:val="0060758C"/>
    <w:rsid w:val="00607A1E"/>
    <w:rsid w:val="00612E6F"/>
    <w:rsid w:val="00626613"/>
    <w:rsid w:val="006315A4"/>
    <w:rsid w:val="00631BAF"/>
    <w:rsid w:val="00631DDF"/>
    <w:rsid w:val="00636B46"/>
    <w:rsid w:val="006440F2"/>
    <w:rsid w:val="00652CDB"/>
    <w:rsid w:val="006566A9"/>
    <w:rsid w:val="00660049"/>
    <w:rsid w:val="00661F09"/>
    <w:rsid w:val="006648F1"/>
    <w:rsid w:val="00666686"/>
    <w:rsid w:val="00671E93"/>
    <w:rsid w:val="00674FB9"/>
    <w:rsid w:val="00677E39"/>
    <w:rsid w:val="0068693D"/>
    <w:rsid w:val="0068703F"/>
    <w:rsid w:val="00690776"/>
    <w:rsid w:val="006923E9"/>
    <w:rsid w:val="00693EDE"/>
    <w:rsid w:val="006A1430"/>
    <w:rsid w:val="006A3899"/>
    <w:rsid w:val="006B0AAB"/>
    <w:rsid w:val="006B1376"/>
    <w:rsid w:val="006B16D7"/>
    <w:rsid w:val="006B755E"/>
    <w:rsid w:val="006C0F8E"/>
    <w:rsid w:val="006E3877"/>
    <w:rsid w:val="006E5381"/>
    <w:rsid w:val="006F0DAC"/>
    <w:rsid w:val="006F0FD3"/>
    <w:rsid w:val="007000D2"/>
    <w:rsid w:val="0071022C"/>
    <w:rsid w:val="00717ACD"/>
    <w:rsid w:val="00717D8B"/>
    <w:rsid w:val="00721044"/>
    <w:rsid w:val="007278C6"/>
    <w:rsid w:val="00733F47"/>
    <w:rsid w:val="00737D5D"/>
    <w:rsid w:val="00740C8A"/>
    <w:rsid w:val="007415AC"/>
    <w:rsid w:val="00742663"/>
    <w:rsid w:val="00745A0A"/>
    <w:rsid w:val="0075666A"/>
    <w:rsid w:val="007643A6"/>
    <w:rsid w:val="007705D2"/>
    <w:rsid w:val="00772366"/>
    <w:rsid w:val="00773448"/>
    <w:rsid w:val="00773EAE"/>
    <w:rsid w:val="00775ADF"/>
    <w:rsid w:val="007804D0"/>
    <w:rsid w:val="00782706"/>
    <w:rsid w:val="007874CA"/>
    <w:rsid w:val="0079298A"/>
    <w:rsid w:val="007A08F9"/>
    <w:rsid w:val="007A5E48"/>
    <w:rsid w:val="007A77DE"/>
    <w:rsid w:val="007B02DC"/>
    <w:rsid w:val="007B0487"/>
    <w:rsid w:val="007B23F1"/>
    <w:rsid w:val="007B3E0F"/>
    <w:rsid w:val="007B7DB2"/>
    <w:rsid w:val="007B7EBE"/>
    <w:rsid w:val="007C4CCE"/>
    <w:rsid w:val="007D6640"/>
    <w:rsid w:val="007E3B68"/>
    <w:rsid w:val="007E4E80"/>
    <w:rsid w:val="007E570A"/>
    <w:rsid w:val="007E5960"/>
    <w:rsid w:val="007F1A81"/>
    <w:rsid w:val="007F31FB"/>
    <w:rsid w:val="007F4255"/>
    <w:rsid w:val="007F4C06"/>
    <w:rsid w:val="007F7C3D"/>
    <w:rsid w:val="007F7E8F"/>
    <w:rsid w:val="00805F68"/>
    <w:rsid w:val="008068BA"/>
    <w:rsid w:val="008079D3"/>
    <w:rsid w:val="00807C09"/>
    <w:rsid w:val="00813013"/>
    <w:rsid w:val="00817EFB"/>
    <w:rsid w:val="008271F5"/>
    <w:rsid w:val="008335EF"/>
    <w:rsid w:val="008346E9"/>
    <w:rsid w:val="00841EA4"/>
    <w:rsid w:val="00845B30"/>
    <w:rsid w:val="00847845"/>
    <w:rsid w:val="00847B9A"/>
    <w:rsid w:val="00853B4F"/>
    <w:rsid w:val="00854DA4"/>
    <w:rsid w:val="00857F4F"/>
    <w:rsid w:val="00874EF9"/>
    <w:rsid w:val="00875575"/>
    <w:rsid w:val="008767AD"/>
    <w:rsid w:val="008779B2"/>
    <w:rsid w:val="00884616"/>
    <w:rsid w:val="0088732A"/>
    <w:rsid w:val="008875A3"/>
    <w:rsid w:val="0088769B"/>
    <w:rsid w:val="008954E9"/>
    <w:rsid w:val="00895B21"/>
    <w:rsid w:val="00896C9E"/>
    <w:rsid w:val="00897B1E"/>
    <w:rsid w:val="008A3190"/>
    <w:rsid w:val="008A3F56"/>
    <w:rsid w:val="008A4619"/>
    <w:rsid w:val="008B142C"/>
    <w:rsid w:val="008B21D8"/>
    <w:rsid w:val="008B2A8C"/>
    <w:rsid w:val="008B695C"/>
    <w:rsid w:val="008B6FB3"/>
    <w:rsid w:val="008C1F4B"/>
    <w:rsid w:val="008D3621"/>
    <w:rsid w:val="008E1888"/>
    <w:rsid w:val="008E461D"/>
    <w:rsid w:val="008F0A50"/>
    <w:rsid w:val="008F0E60"/>
    <w:rsid w:val="008F19E4"/>
    <w:rsid w:val="008F2B24"/>
    <w:rsid w:val="008F6844"/>
    <w:rsid w:val="0090120D"/>
    <w:rsid w:val="0090284B"/>
    <w:rsid w:val="0090632C"/>
    <w:rsid w:val="0090760C"/>
    <w:rsid w:val="00912DC5"/>
    <w:rsid w:val="009167AF"/>
    <w:rsid w:val="00917823"/>
    <w:rsid w:val="009203CA"/>
    <w:rsid w:val="00923BC6"/>
    <w:rsid w:val="009252C0"/>
    <w:rsid w:val="0092534B"/>
    <w:rsid w:val="00926067"/>
    <w:rsid w:val="00935959"/>
    <w:rsid w:val="00937A25"/>
    <w:rsid w:val="00943B95"/>
    <w:rsid w:val="009440C9"/>
    <w:rsid w:val="00946BAD"/>
    <w:rsid w:val="009506D7"/>
    <w:rsid w:val="00951B23"/>
    <w:rsid w:val="00953035"/>
    <w:rsid w:val="00956C11"/>
    <w:rsid w:val="00961E1C"/>
    <w:rsid w:val="00965D0B"/>
    <w:rsid w:val="00965E3D"/>
    <w:rsid w:val="00971FD3"/>
    <w:rsid w:val="009725C6"/>
    <w:rsid w:val="00974031"/>
    <w:rsid w:val="00977EA9"/>
    <w:rsid w:val="00981556"/>
    <w:rsid w:val="0098432D"/>
    <w:rsid w:val="00986A17"/>
    <w:rsid w:val="00986B2F"/>
    <w:rsid w:val="00990792"/>
    <w:rsid w:val="00990B3F"/>
    <w:rsid w:val="009948D5"/>
    <w:rsid w:val="00996FB9"/>
    <w:rsid w:val="009A13C2"/>
    <w:rsid w:val="009A1A60"/>
    <w:rsid w:val="009A7069"/>
    <w:rsid w:val="009B3F67"/>
    <w:rsid w:val="009B68CE"/>
    <w:rsid w:val="009C1DC4"/>
    <w:rsid w:val="009D11AA"/>
    <w:rsid w:val="009D158A"/>
    <w:rsid w:val="009E420F"/>
    <w:rsid w:val="009F2F96"/>
    <w:rsid w:val="009F54B4"/>
    <w:rsid w:val="009F621A"/>
    <w:rsid w:val="00A02833"/>
    <w:rsid w:val="00A10D50"/>
    <w:rsid w:val="00A114EF"/>
    <w:rsid w:val="00A17FBF"/>
    <w:rsid w:val="00A25292"/>
    <w:rsid w:val="00A33F6B"/>
    <w:rsid w:val="00A3751E"/>
    <w:rsid w:val="00A37CA4"/>
    <w:rsid w:val="00A41F1E"/>
    <w:rsid w:val="00A42E82"/>
    <w:rsid w:val="00A513F3"/>
    <w:rsid w:val="00A54C3F"/>
    <w:rsid w:val="00A55244"/>
    <w:rsid w:val="00A55D6B"/>
    <w:rsid w:val="00A608DB"/>
    <w:rsid w:val="00A70DF5"/>
    <w:rsid w:val="00A71974"/>
    <w:rsid w:val="00A752A2"/>
    <w:rsid w:val="00A75B6A"/>
    <w:rsid w:val="00A82DE1"/>
    <w:rsid w:val="00A841BD"/>
    <w:rsid w:val="00A919E9"/>
    <w:rsid w:val="00AA02D1"/>
    <w:rsid w:val="00AA47EC"/>
    <w:rsid w:val="00AA7E20"/>
    <w:rsid w:val="00AB0929"/>
    <w:rsid w:val="00AB0C52"/>
    <w:rsid w:val="00AB44B3"/>
    <w:rsid w:val="00AC0689"/>
    <w:rsid w:val="00AC7018"/>
    <w:rsid w:val="00AD0852"/>
    <w:rsid w:val="00AD31CB"/>
    <w:rsid w:val="00AE00D7"/>
    <w:rsid w:val="00AE03AE"/>
    <w:rsid w:val="00AE57C4"/>
    <w:rsid w:val="00AE695E"/>
    <w:rsid w:val="00AF12F3"/>
    <w:rsid w:val="00AF1EA3"/>
    <w:rsid w:val="00AF4415"/>
    <w:rsid w:val="00AF6C5C"/>
    <w:rsid w:val="00B01113"/>
    <w:rsid w:val="00B018A0"/>
    <w:rsid w:val="00B0190F"/>
    <w:rsid w:val="00B02CE7"/>
    <w:rsid w:val="00B144F1"/>
    <w:rsid w:val="00B14D4A"/>
    <w:rsid w:val="00B20A9A"/>
    <w:rsid w:val="00B2228D"/>
    <w:rsid w:val="00B2272A"/>
    <w:rsid w:val="00B240E1"/>
    <w:rsid w:val="00B25EAF"/>
    <w:rsid w:val="00B3126B"/>
    <w:rsid w:val="00B31F17"/>
    <w:rsid w:val="00B3525C"/>
    <w:rsid w:val="00B44E1F"/>
    <w:rsid w:val="00B6096F"/>
    <w:rsid w:val="00B61C80"/>
    <w:rsid w:val="00B6683B"/>
    <w:rsid w:val="00B67D31"/>
    <w:rsid w:val="00B72977"/>
    <w:rsid w:val="00B73BC1"/>
    <w:rsid w:val="00B76401"/>
    <w:rsid w:val="00B81363"/>
    <w:rsid w:val="00B81CFB"/>
    <w:rsid w:val="00B846A2"/>
    <w:rsid w:val="00B8776E"/>
    <w:rsid w:val="00B906D2"/>
    <w:rsid w:val="00B911A2"/>
    <w:rsid w:val="00B91537"/>
    <w:rsid w:val="00B919E4"/>
    <w:rsid w:val="00B94B7E"/>
    <w:rsid w:val="00B95B05"/>
    <w:rsid w:val="00BA685D"/>
    <w:rsid w:val="00BB0FC2"/>
    <w:rsid w:val="00BB384B"/>
    <w:rsid w:val="00BB3FB1"/>
    <w:rsid w:val="00BB70EA"/>
    <w:rsid w:val="00BC121C"/>
    <w:rsid w:val="00BC3046"/>
    <w:rsid w:val="00BC3609"/>
    <w:rsid w:val="00BD411B"/>
    <w:rsid w:val="00BD4E3C"/>
    <w:rsid w:val="00BE4D0F"/>
    <w:rsid w:val="00C00878"/>
    <w:rsid w:val="00C01699"/>
    <w:rsid w:val="00C02560"/>
    <w:rsid w:val="00C10C00"/>
    <w:rsid w:val="00C11CC3"/>
    <w:rsid w:val="00C1505A"/>
    <w:rsid w:val="00C15A06"/>
    <w:rsid w:val="00C17DA3"/>
    <w:rsid w:val="00C20358"/>
    <w:rsid w:val="00C222A3"/>
    <w:rsid w:val="00C23402"/>
    <w:rsid w:val="00C25E02"/>
    <w:rsid w:val="00C26047"/>
    <w:rsid w:val="00C3146B"/>
    <w:rsid w:val="00C41DEF"/>
    <w:rsid w:val="00C4671F"/>
    <w:rsid w:val="00C5289E"/>
    <w:rsid w:val="00C555B3"/>
    <w:rsid w:val="00C62A4B"/>
    <w:rsid w:val="00C6453A"/>
    <w:rsid w:val="00C64F23"/>
    <w:rsid w:val="00C66400"/>
    <w:rsid w:val="00C7432F"/>
    <w:rsid w:val="00C83BBE"/>
    <w:rsid w:val="00C958BB"/>
    <w:rsid w:val="00C95C31"/>
    <w:rsid w:val="00C965DC"/>
    <w:rsid w:val="00C9776D"/>
    <w:rsid w:val="00CA1A41"/>
    <w:rsid w:val="00CA346B"/>
    <w:rsid w:val="00CB1A44"/>
    <w:rsid w:val="00CB1E15"/>
    <w:rsid w:val="00CB7F52"/>
    <w:rsid w:val="00CC5FBE"/>
    <w:rsid w:val="00CD1559"/>
    <w:rsid w:val="00CD54E7"/>
    <w:rsid w:val="00CD6D91"/>
    <w:rsid w:val="00CD7C5C"/>
    <w:rsid w:val="00CE0C48"/>
    <w:rsid w:val="00CE592B"/>
    <w:rsid w:val="00CF70DC"/>
    <w:rsid w:val="00D07910"/>
    <w:rsid w:val="00D15599"/>
    <w:rsid w:val="00D167C5"/>
    <w:rsid w:val="00D17C4F"/>
    <w:rsid w:val="00D267F0"/>
    <w:rsid w:val="00D37A8A"/>
    <w:rsid w:val="00D41702"/>
    <w:rsid w:val="00D41CF6"/>
    <w:rsid w:val="00D42314"/>
    <w:rsid w:val="00D4409B"/>
    <w:rsid w:val="00D509B3"/>
    <w:rsid w:val="00D513DC"/>
    <w:rsid w:val="00D51569"/>
    <w:rsid w:val="00D544A4"/>
    <w:rsid w:val="00D56AB1"/>
    <w:rsid w:val="00D60063"/>
    <w:rsid w:val="00D64763"/>
    <w:rsid w:val="00D709DA"/>
    <w:rsid w:val="00D72435"/>
    <w:rsid w:val="00D73974"/>
    <w:rsid w:val="00D74885"/>
    <w:rsid w:val="00D75CC5"/>
    <w:rsid w:val="00D818E3"/>
    <w:rsid w:val="00D81C9E"/>
    <w:rsid w:val="00D8268E"/>
    <w:rsid w:val="00D85806"/>
    <w:rsid w:val="00D911AE"/>
    <w:rsid w:val="00D92A9D"/>
    <w:rsid w:val="00D94386"/>
    <w:rsid w:val="00D947F4"/>
    <w:rsid w:val="00DA191B"/>
    <w:rsid w:val="00DA30F3"/>
    <w:rsid w:val="00DA45C3"/>
    <w:rsid w:val="00DB0484"/>
    <w:rsid w:val="00DB1F10"/>
    <w:rsid w:val="00DB2C71"/>
    <w:rsid w:val="00DB511F"/>
    <w:rsid w:val="00DB5CCE"/>
    <w:rsid w:val="00DB628C"/>
    <w:rsid w:val="00DB7AA4"/>
    <w:rsid w:val="00DC4E24"/>
    <w:rsid w:val="00DC603D"/>
    <w:rsid w:val="00DC6A14"/>
    <w:rsid w:val="00DC6B9B"/>
    <w:rsid w:val="00DD267F"/>
    <w:rsid w:val="00DD6691"/>
    <w:rsid w:val="00DE0D9F"/>
    <w:rsid w:val="00DE50C7"/>
    <w:rsid w:val="00DF59FF"/>
    <w:rsid w:val="00DF6715"/>
    <w:rsid w:val="00DF7913"/>
    <w:rsid w:val="00E0076E"/>
    <w:rsid w:val="00E04D20"/>
    <w:rsid w:val="00E176A0"/>
    <w:rsid w:val="00E17B0B"/>
    <w:rsid w:val="00E216FF"/>
    <w:rsid w:val="00E21AF2"/>
    <w:rsid w:val="00E22CD1"/>
    <w:rsid w:val="00E3337A"/>
    <w:rsid w:val="00E35C4D"/>
    <w:rsid w:val="00E40DA0"/>
    <w:rsid w:val="00E41E02"/>
    <w:rsid w:val="00E4455F"/>
    <w:rsid w:val="00E464E0"/>
    <w:rsid w:val="00E504D1"/>
    <w:rsid w:val="00E50AB8"/>
    <w:rsid w:val="00E52AA4"/>
    <w:rsid w:val="00E555F1"/>
    <w:rsid w:val="00E578BC"/>
    <w:rsid w:val="00E62124"/>
    <w:rsid w:val="00E65D94"/>
    <w:rsid w:val="00E66AEF"/>
    <w:rsid w:val="00E737B1"/>
    <w:rsid w:val="00E77834"/>
    <w:rsid w:val="00E81A5A"/>
    <w:rsid w:val="00E8279E"/>
    <w:rsid w:val="00E85FBF"/>
    <w:rsid w:val="00E91085"/>
    <w:rsid w:val="00EA216D"/>
    <w:rsid w:val="00EA3996"/>
    <w:rsid w:val="00EB265C"/>
    <w:rsid w:val="00EB4805"/>
    <w:rsid w:val="00EB707F"/>
    <w:rsid w:val="00EC09C7"/>
    <w:rsid w:val="00EC6EFC"/>
    <w:rsid w:val="00ED03B0"/>
    <w:rsid w:val="00ED1710"/>
    <w:rsid w:val="00ED6637"/>
    <w:rsid w:val="00EE06FC"/>
    <w:rsid w:val="00EE385B"/>
    <w:rsid w:val="00EE581D"/>
    <w:rsid w:val="00EE6A46"/>
    <w:rsid w:val="00EF6FB9"/>
    <w:rsid w:val="00EF7777"/>
    <w:rsid w:val="00F005C7"/>
    <w:rsid w:val="00F02C34"/>
    <w:rsid w:val="00F16F91"/>
    <w:rsid w:val="00F2426A"/>
    <w:rsid w:val="00F363A4"/>
    <w:rsid w:val="00F46C50"/>
    <w:rsid w:val="00F53AD8"/>
    <w:rsid w:val="00F53BF5"/>
    <w:rsid w:val="00F60CF8"/>
    <w:rsid w:val="00F6166F"/>
    <w:rsid w:val="00F70EB8"/>
    <w:rsid w:val="00F728BD"/>
    <w:rsid w:val="00F75A22"/>
    <w:rsid w:val="00F8233A"/>
    <w:rsid w:val="00F83CF4"/>
    <w:rsid w:val="00F95273"/>
    <w:rsid w:val="00FA0589"/>
    <w:rsid w:val="00FA05EF"/>
    <w:rsid w:val="00FA6C78"/>
    <w:rsid w:val="00FB02C5"/>
    <w:rsid w:val="00FB0550"/>
    <w:rsid w:val="00FB49A7"/>
    <w:rsid w:val="00FB643B"/>
    <w:rsid w:val="00FC3701"/>
    <w:rsid w:val="00FC48C8"/>
    <w:rsid w:val="00FC743F"/>
    <w:rsid w:val="00FD398A"/>
    <w:rsid w:val="00FD7E47"/>
    <w:rsid w:val="00FE4794"/>
    <w:rsid w:val="00FE5EDB"/>
    <w:rsid w:val="00FE6FBF"/>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1"/>
      </w:numPr>
    </w:pPr>
  </w:style>
  <w:style w:type="paragraph" w:styleId="Heading4">
    <w:name w:val="heading 4"/>
    <w:basedOn w:val="FEMAHeading3"/>
    <w:next w:val="BodyText"/>
    <w:link w:val="Heading4Char"/>
    <w:uiPriority w:val="99"/>
    <w:unhideWhenUsed/>
    <w:qFormat/>
    <w:rsid w:val="00A3751E"/>
    <w:pPr>
      <w:numPr>
        <w:numId w:val="11"/>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2"/>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3"/>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unhideWhenUsed/>
    <w:rsid w:val="00A3751E"/>
    <w:rPr>
      <w:color w:val="005188" w:themeColor="followedHyperlink"/>
      <w:u w:val="single"/>
    </w:rPr>
  </w:style>
  <w:style w:type="paragraph" w:styleId="ListBullet">
    <w:name w:val="List Bullet"/>
    <w:basedOn w:val="Normal"/>
    <w:uiPriority w:val="99"/>
    <w:unhideWhenUsed/>
    <w:rsid w:val="00A3751E"/>
    <w:pPr>
      <w:numPr>
        <w:numId w:val="14"/>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customStyle="1" w:styleId="UnresolvedMention1">
    <w:name w:val="Unresolved Mention1"/>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5"/>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6"/>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7"/>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19"/>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8"/>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8"/>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9"/>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3"/>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0"/>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5"/>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6"/>
      </w:numPr>
      <w:spacing w:before="120"/>
    </w:pPr>
  </w:style>
  <w:style w:type="numbering" w:customStyle="1" w:styleId="NumberedLists">
    <w:name w:val="Numbered Lists"/>
    <w:uiPriority w:val="99"/>
    <w:rsid w:val="00A3751E"/>
    <w:pPr>
      <w:numPr>
        <w:numId w:val="17"/>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19"/>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0"/>
      </w:numPr>
    </w:pPr>
  </w:style>
  <w:style w:type="paragraph" w:customStyle="1" w:styleId="FEMAModelLanguageorExcerptLETTERS">
    <w:name w:val="FEMA Model Language or Excerpt LETTERS"/>
    <w:basedOn w:val="FEMAModelLanguageorExcerptTEXT"/>
    <w:uiPriority w:val="99"/>
    <w:qFormat/>
    <w:rsid w:val="00D818E3"/>
    <w:pPr>
      <w:numPr>
        <w:numId w:val="21"/>
      </w:numPr>
    </w:pPr>
  </w:style>
  <w:style w:type="paragraph" w:customStyle="1" w:styleId="FEMAModelLanguageorExcerptNUMBERS">
    <w:name w:val="FEMA Model Language or Excerpt NUMBERS"/>
    <w:basedOn w:val="FEMAModelLanguageorExcerptTEXT"/>
    <w:uiPriority w:val="99"/>
    <w:qFormat/>
    <w:rsid w:val="00D818E3"/>
    <w:pPr>
      <w:numPr>
        <w:ilvl w:val="1"/>
        <w:numId w:val="21"/>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2"/>
      </w:numPr>
      <w:ind w:left="547"/>
    </w:pPr>
  </w:style>
  <w:style w:type="paragraph" w:customStyle="1" w:styleId="Default">
    <w:name w:val="Default"/>
    <w:rsid w:val="00586BFB"/>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338115986">
      <w:bodyDiv w:val="1"/>
      <w:marLeft w:val="0"/>
      <w:marRight w:val="0"/>
      <w:marTop w:val="0"/>
      <w:marBottom w:val="0"/>
      <w:divBdr>
        <w:top w:val="none" w:sz="0" w:space="0" w:color="auto"/>
        <w:left w:val="none" w:sz="0" w:space="0" w:color="auto"/>
        <w:bottom w:val="none" w:sz="0" w:space="0" w:color="auto"/>
        <w:right w:val="none" w:sz="0" w:space="0" w:color="auto"/>
      </w:divBdr>
    </w:div>
    <w:div w:id="725682765">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wvgis.wvu.edu/pub/RA/State/BL/CommunityAss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wvgis.wvu.edu/pub/RA/State/BL/EssentialFac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wvgis.wvu.edu/pub/RA/State/BL/BL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88BDCE23947C41A503016E5D8375FD" ma:contentTypeVersion="26" ma:contentTypeDescription="Create a new document." ma:contentTypeScope="" ma:versionID="2a0235e4c9e782e68baee27adadf647c">
  <xsd:schema xmlns:xsd="http://www.w3.org/2001/XMLSchema" xmlns:xs="http://www.w3.org/2001/XMLSchema" xmlns:p="http://schemas.microsoft.com/office/2006/metadata/properties" xmlns:ns2="b41ffe5a-11fa-4af5-a8eb-56f365323b0a" xmlns:ns3="74d4a4fe-0c42-4a5e-a3ad-068c1e152384" targetNamespace="http://schemas.microsoft.com/office/2006/metadata/properties" ma:root="true" ma:fieldsID="620706f5f62c9bcef89d7e2f6bdd4db0" ns2:_="" ns3:_="">
    <xsd:import namespace="b41ffe5a-11fa-4af5-a8eb-56f365323b0a"/>
    <xsd:import namespace="74d4a4fe-0c42-4a5e-a3ad-068c1e152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O_x0023_"/>
                <xsd:element ref="ns3:Ops_x0020_Area" minOccurs="0"/>
                <xsd:element ref="ns3:OptionPeriod" minOccurs="0"/>
                <xsd:element ref="ns3:Region_x002f_HQ" minOccurs="0"/>
                <xsd:element ref="ns2:TaskOutcome" minOccurs="0"/>
                <xsd:element ref="ns3:e1a5b98cdd71426dacb6e478c7a5882f" minOccurs="0"/>
                <xsd:element ref="ns3:TaxCatchAll" minOccurs="0"/>
                <xsd:element ref="ns2:WSEnabled" minOccurs="0"/>
                <xsd:element ref="ns3:Accessible" minOccurs="0"/>
                <xsd:element ref="ns3:FEMA_x0020_Topic_x0020_Area" minOccurs="0"/>
                <xsd:element ref="ns3:Hazard_x0020_Type" minOccurs="0"/>
                <xsd:element ref="ns3:Risk_x0020_MAP" minOccurs="0"/>
                <xsd:element ref="ns2:MediaServiceAutoTags" minOccurs="0"/>
                <xsd:element ref="ns2:MediaServiceGenerationTime" minOccurs="0"/>
                <xsd:element ref="ns2:MediaServiceEventHashCode" minOccurs="0"/>
                <xsd:element ref="ns3:Document_x0020_Status"/>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ffe5a-11fa-4af5-a8eb-56f365323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skOutcome" ma:index="16" nillable="true" ma:displayName="Task Outcome" ma:internalName="TaskOutcome">
      <xsd:simpleType>
        <xsd:restriction base="dms:Unknown">
          <xsd:enumeration value="Approved"/>
          <xsd:enumeration value="Rejected"/>
        </xsd:restriction>
      </xsd:simpleType>
    </xsd:element>
    <xsd:element name="WSEnabled" ma:index="20" nillable="true" ma:displayName="WSEnabled" ma:internalName="WSEnabled">
      <xsd:simpleType>
        <xsd:restriction base="dms:Boolea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4a4fe-0c42-4a5e-a3ad-068c1e152384" elementFormDefault="qualified">
    <xsd:import namespace="http://schemas.microsoft.com/office/2006/documentManagement/types"/>
    <xsd:import namespace="http://schemas.microsoft.com/office/infopath/2007/PartnerControls"/>
    <xsd:element name="TO_x0023_" ma:index="12" ma:displayName="TO#" ma:default="TO0001" ma:format="Dropdown" ma:internalName="TO_x0023_">
      <xsd:simpleType>
        <xsd:restriction base="dms:Choice">
          <xsd:enumeration value="TO0001"/>
        </xsd:restriction>
      </xsd:simpleType>
    </xsd:element>
    <xsd:element name="Ops_x0020_Area" ma:index="13" nillable="true" ma:displayName="Ops Topic" ma:description="This is where you select to core CERC area(s) of impact." ma:format="Dropdown" ma:internalName="Ops_x0020_Area" ma:requiredMultiChoice="true">
      <xsd:complexType>
        <xsd:complexContent>
          <xsd:extension base="dms:MultiChoice">
            <xsd:sequence>
              <xsd:element name="Value" maxOccurs="unbounded" minOccurs="0" nillable="true">
                <xsd:simpleType>
                  <xsd:restriction base="dms:Choice">
                    <xsd:enumeration value="Central Hub"/>
                    <xsd:enumeration value="East Hub"/>
                    <xsd:enumeration value="West Hub"/>
                    <xsd:enumeration value="Norming"/>
                    <xsd:enumeration value="Transforming"/>
                    <xsd:enumeration value="Innovating"/>
                    <xsd:enumeration value="Motivating"/>
                    <xsd:enumeration value="Contract Management"/>
                    <xsd:enumeration value="Portfolio Management"/>
                    <xsd:enumeration value="Creative"/>
                    <xsd:enumeration value="Resource Center"/>
                    <xsd:enumeration value="Key Behavior Science"/>
                    <xsd:enumeration value="Key Economics"/>
                  </xsd:restriction>
                </xsd:simpleType>
              </xsd:element>
            </xsd:sequence>
          </xsd:extension>
        </xsd:complexContent>
      </xsd:complexType>
    </xsd:element>
    <xsd:element name="OptionPeriod" ma:index="14" nillable="true" ma:displayName="OptionPeriod" ma:default="OP00" ma:format="Dropdown" ma:internalName="OptionPeriod">
      <xsd:simpleType>
        <xsd:restriction base="dms:Choice">
          <xsd:enumeration value="OP00"/>
        </xsd:restriction>
      </xsd:simpleType>
    </xsd:element>
    <xsd:element name="Region_x002f_HQ" ma:index="15" nillable="true" ma:displayName="Region" ma:internalName="Region_x002F_HQ">
      <xsd:complexType>
        <xsd:complexContent>
          <xsd:extension base="dms:MultiChoice">
            <xsd:sequence>
              <xsd:element name="Value" maxOccurs="unbounded" minOccurs="0" nillable="true">
                <xsd:simpleType>
                  <xsd:restriction base="dms:Choice">
                    <xsd:enumeration value="Region 1"/>
                    <xsd:enumeration value="Region 2"/>
                    <xsd:enumeration value="Region 3"/>
                    <xsd:enumeration value="Region 4"/>
                    <xsd:enumeration value="Region 5"/>
                    <xsd:enumeration value="Region 6"/>
                    <xsd:enumeration value="Region 7"/>
                    <xsd:enumeration value="Region 8"/>
                    <xsd:enumeration value="Region 9"/>
                    <xsd:enumeration value="Region 10"/>
                  </xsd:restriction>
                </xsd:simpleType>
              </xsd:element>
            </xsd:sequence>
          </xsd:extension>
        </xsd:complexContent>
      </xsd:complexType>
    </xsd:element>
    <xsd:element name="e1a5b98cdd71426dacb6e478c7a5882f" ma:index="18" nillable="true" ma:taxonomy="true" ma:internalName="e1a5b98cdd71426dacb6e478c7a5882f" ma:taxonomyFieldName="Wiki_x0020_Page_x0020_Categories" ma:displayName="Wiki Categories" ma:fieldId="{e1a5b98c-dd71-426d-acb6-e478c7a5882f}" ma:taxonomyMulti="true" ma:sspId="ec331c6f-9f67-492c-b097-0046b48c9d78" ma:termSetId="655e9f3d-ba11-4e3e-a831-6fa6e0c1c581" ma:anchorId="00000000-0000-0000-0000-000000000000" ma:open="true" ma:isKeyword="false">
      <xsd:complexType>
        <xsd:sequence>
          <xsd:element ref="pc:Terms" minOccurs="0" maxOccurs="1"/>
        </xsd:sequence>
      </xsd:complexType>
    </xsd:element>
    <xsd:element name="TaxCatchAll" ma:index="19" nillable="true" ma:displayName="Taxonomy Catch All Column" ma:hidden="true" ma:list="{ae80bf81-6c2e-4d48-828a-9958f3c930a9}" ma:internalName="TaxCatchAll" ma:showField="CatchAllData" ma:web="74d4a4fe-0c42-4a5e-a3ad-068c1e152384">
      <xsd:complexType>
        <xsd:complexContent>
          <xsd:extension base="dms:MultiChoiceLookup">
            <xsd:sequence>
              <xsd:element name="Value" type="dms:Lookup" maxOccurs="unbounded" minOccurs="0" nillable="true"/>
            </xsd:sequence>
          </xsd:extension>
        </xsd:complexContent>
      </xsd:complexType>
    </xsd:element>
    <xsd:element name="Accessible" ma:index="21" nillable="true" ma:displayName="Accessible" ma:default="0" ma:internalName="Accessible">
      <xsd:simpleType>
        <xsd:restriction base="dms:Boolean"/>
      </xsd:simpleType>
    </xsd:element>
    <xsd:element name="FEMA_x0020_Topic_x0020_Area" ma:index="22" nillable="true" ma:displayName="FEMA Topic Area" ma:format="Dropdown" ma:internalName="FEMA_x0020_Topic_x0020_Area">
      <xsd:simpleType>
        <xsd:restriction base="dms:Choice">
          <xsd:enumeration value="Building Science"/>
          <xsd:enumeration value="Coastal"/>
          <xsd:enumeration value="COP"/>
          <xsd:enumeration value="CTP"/>
          <xsd:enumeration value="Dams"/>
          <xsd:enumeration value="Floodplain Mgt"/>
          <xsd:enumeration value="General"/>
          <xsd:enumeration value="Grants"/>
          <xsd:enumeration value="Incentives"/>
          <xsd:enumeration value="Insurance"/>
          <xsd:enumeration value="Levee"/>
          <xsd:enumeration value="Mapping"/>
          <xsd:enumeration value="Mitigation Planning"/>
          <xsd:enumeration value="Partnerships"/>
          <xsd:enumeration value="Program Planning"/>
          <xsd:enumeration value="Risk Comms"/>
          <xsd:enumeration value="Riverine"/>
          <xsd:enumeration value="Stormwater"/>
        </xsd:restriction>
      </xsd:simpleType>
    </xsd:element>
    <xsd:element name="Hazard_x0020_Type" ma:index="23" nillable="true" ma:displayName="Hazard Type" ma:format="Dropdown" ma:internalName="Hazard_x0020_Type">
      <xsd:simpleType>
        <xsd:restriction base="dms:Choice">
          <xsd:enumeration value="Drought"/>
          <xsd:enumeration value="Earthquake"/>
          <xsd:enumeration value="Erosion"/>
          <xsd:enumeration value="Flood"/>
          <xsd:enumeration value="Hurricane"/>
          <xsd:enumeration value="Tornado"/>
          <xsd:enumeration value="Wildfire"/>
          <xsd:enumeration value="All-Hazard"/>
        </xsd:restriction>
      </xsd:simpleType>
    </xsd:element>
    <xsd:element name="Risk_x0020_MAP" ma:index="24" nillable="true" ma:displayName="Risk MAP" ma:format="Dropdown" ma:internalName="Risk_x0020_MAP">
      <xsd:simpleType>
        <xsd:restriction base="dms:Choice">
          <xsd:enumeration value="Prediscovery"/>
          <xsd:enumeration value="Discovery"/>
          <xsd:enumeration value="FRR"/>
          <xsd:enumeration value="CCO"/>
          <xsd:enumeration value="Open House"/>
          <xsd:enumeration value="Preliminary"/>
          <xsd:enumeration value="Post"/>
          <xsd:enumeration value="Resilience"/>
        </xsd:restriction>
      </xsd:simpleType>
    </xsd:element>
    <xsd:element name="Document_x0020_Status" ma:index="28" ma:displayName="Document Status" ma:format="Dropdown" ma:internalName="Document_x0020_Status">
      <xsd:simpleType>
        <xsd:restriction base="dms:Choice">
          <xsd:enumeration value="Not Started"/>
          <xsd:enumeration value="Active"/>
          <xsd:enumeration value="Draft"/>
          <xsd:enumeration value="Reviewed"/>
          <xsd:enumeration value="Scheduled"/>
          <xsd:enumeration value="Published"/>
          <xsd:enumeration value="Final"/>
          <xsd:enumeration value="EA in Review"/>
          <xsd:enumeration value="EA Approved"/>
          <xsd:enumeration value="Final Deliverable"/>
          <xsd:enumeration value="Final Contract Deliverable"/>
          <xsd:enumeration value="Expired"/>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d4a4fe-0c42-4a5e-a3ad-068c1e152384" xsi:nil="true"/>
    <e1a5b98cdd71426dacb6e478c7a5882f xmlns="74d4a4fe-0c42-4a5e-a3ad-068c1e152384">
      <Terms xmlns="http://schemas.microsoft.com/office/infopath/2007/PartnerControls"/>
    </e1a5b98cdd71426dacb6e478c7a5882f>
    <Hazard_x0020_Type xmlns="74d4a4fe-0c42-4a5e-a3ad-068c1e152384" xsi:nil="true"/>
    <Risk_x0020_MAP xmlns="74d4a4fe-0c42-4a5e-a3ad-068c1e152384" xsi:nil="true"/>
    <TO_x0023_ xmlns="74d4a4fe-0c42-4a5e-a3ad-068c1e152384">TO0001</TO_x0023_>
    <Region_x002f_HQ xmlns="74d4a4fe-0c42-4a5e-a3ad-068c1e152384" xsi:nil="true"/>
    <Document_x0020_Status xmlns="74d4a4fe-0c42-4a5e-a3ad-068c1e152384">Published</Document_x0020_Status>
    <Accessible xmlns="74d4a4fe-0c42-4a5e-a3ad-068c1e152384">false</Accessible>
    <FEMA_x0020_Topic_x0020_Area xmlns="74d4a4fe-0c42-4a5e-a3ad-068c1e152384" xsi:nil="true"/>
    <OptionPeriod xmlns="74d4a4fe-0c42-4a5e-a3ad-068c1e152384">OP00</OptionPeriod>
    <TaskOutcome xmlns="b41ffe5a-11fa-4af5-a8eb-56f365323b0a" xsi:nil="true"/>
    <Ops_x0020_Area xmlns="74d4a4fe-0c42-4a5e-a3ad-068c1e152384">
      <Value>Resource Center</Value>
    </Ops_x0020_Area>
    <WSEnabled xmlns="b41ffe5a-11fa-4af5-a8eb-56f365323b0a" xsi:nil="true"/>
  </documentManagement>
</p:properties>
</file>

<file path=customXml/itemProps1.xml><?xml version="1.0" encoding="utf-8"?>
<ds:datastoreItem xmlns:ds="http://schemas.openxmlformats.org/officeDocument/2006/customXml" ds:itemID="{21156303-9637-4AC8-87F0-29B0DBB6FB9D}">
  <ds:schemaRefs>
    <ds:schemaRef ds:uri="http://schemas.openxmlformats.org/officeDocument/2006/bibliography"/>
  </ds:schemaRefs>
</ds:datastoreItem>
</file>

<file path=customXml/itemProps2.xml><?xml version="1.0" encoding="utf-8"?>
<ds:datastoreItem xmlns:ds="http://schemas.openxmlformats.org/officeDocument/2006/customXml" ds:itemID="{32F56C30-403A-4421-A046-3014068D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ffe5a-11fa-4af5-a8eb-56f365323b0a"/>
    <ds:schemaRef ds:uri="74d4a4fe-0c42-4a5e-a3ad-068c1e152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4.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74d4a4fe-0c42-4a5e-a3ad-068c1e152384"/>
    <ds:schemaRef ds:uri="b41ffe5a-11fa-4af5-a8eb-56f365323b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14866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subject/>
  <dc:creator>FEMA External Affairs</dc:creator>
  <cp:keywords/>
  <dc:description/>
  <cp:lastModifiedBy>Behrang Bidadian</cp:lastModifiedBy>
  <cp:revision>3</cp:revision>
  <cp:lastPrinted>2020-05-28T19:47:00Z</cp:lastPrinted>
  <dcterms:created xsi:type="dcterms:W3CDTF">2024-03-25T16:49:00Z</dcterms:created>
  <dcterms:modified xsi:type="dcterms:W3CDTF">2024-03-25T17:46:00Z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0x010100B488BDCE23947C41A503016E5D8375FD</vt:lpwstr>
  </property>
  <property fmtid="{D5CDD505-2E9C-101B-9397-08002B2CF9AE}" pid="3" name="_ExtendedDescription">
    <vt:lpwstr>General FEMA templates</vt:lpwstr>
  </property>
  <property fmtid="{D5CDD505-2E9C-101B-9397-08002B2CF9AE}" pid="4" name="Wiki Page Categories">
    <vt:lpwstr/>
  </property>
</Properties>
</file>