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4199C7" w14:textId="669DDC35" w:rsidR="00826B38" w:rsidRDefault="00826B38">
      <w:r>
        <w:rPr>
          <w:noProof/>
        </w:rPr>
        <w:drawing>
          <wp:anchor distT="0" distB="0" distL="114300" distR="114300" simplePos="0" relativeHeight="251663360" behindDoc="0" locked="0" layoutInCell="1" allowOverlap="1" wp14:anchorId="2693106A" wp14:editId="221D15A5">
            <wp:simplePos x="0" y="0"/>
            <wp:positionH relativeFrom="column">
              <wp:posOffset>-42545</wp:posOffset>
            </wp:positionH>
            <wp:positionV relativeFrom="paragraph">
              <wp:posOffset>1645920</wp:posOffset>
            </wp:positionV>
            <wp:extent cx="6259830" cy="4794250"/>
            <wp:effectExtent l="0" t="0" r="7620" b="6350"/>
            <wp:wrapThrough wrapText="bothSides">
              <wp:wrapPolygon edited="0">
                <wp:start x="0" y="0"/>
                <wp:lineTo x="0" y="21543"/>
                <wp:lineTo x="21561" y="21543"/>
                <wp:lineTo x="2156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259830" cy="4794250"/>
                    </a:xfrm>
                    <a:prstGeom prst="rect">
                      <a:avLst/>
                    </a:prstGeom>
                  </pic:spPr>
                </pic:pic>
              </a:graphicData>
            </a:graphic>
            <wp14:sizeRelH relativeFrom="margin">
              <wp14:pctWidth>0</wp14:pctWidth>
            </wp14:sizeRelH>
            <wp14:sizeRelV relativeFrom="margin">
              <wp14:pctHeight>0</wp14:pctHeight>
            </wp14:sizeRelV>
          </wp:anchor>
        </w:drawing>
      </w:r>
    </w:p>
    <w:sdt>
      <w:sdtPr>
        <w:id w:val="-340163563"/>
        <w:docPartObj>
          <w:docPartGallery w:val="Cover Pages"/>
          <w:docPartUnique/>
        </w:docPartObj>
      </w:sdtPr>
      <w:sdtEndPr/>
      <w:sdtContent>
        <w:p w14:paraId="51F844A6" w14:textId="4D162BDF" w:rsidR="00B2775A" w:rsidRDefault="007E5137">
          <w:r>
            <w:rPr>
              <w:noProof/>
            </w:rPr>
            <mc:AlternateContent>
              <mc:Choice Requires="wps">
                <w:drawing>
                  <wp:anchor distT="0" distB="0" distL="182880" distR="182880" simplePos="0" relativeHeight="251660288" behindDoc="0" locked="0" layoutInCell="1" allowOverlap="1" wp14:anchorId="750B4186" wp14:editId="20A92B6E">
                    <wp:simplePos x="0" y="0"/>
                    <wp:positionH relativeFrom="margin">
                      <wp:posOffset>-47625</wp:posOffset>
                    </wp:positionH>
                    <wp:positionV relativeFrom="page">
                      <wp:posOffset>809625</wp:posOffset>
                    </wp:positionV>
                    <wp:extent cx="6153150" cy="6720840"/>
                    <wp:effectExtent l="0" t="0" r="0" b="2540"/>
                    <wp:wrapSquare wrapText="bothSides"/>
                    <wp:docPr id="131" name="Text Box 131"/>
                    <wp:cNvGraphicFramePr/>
                    <a:graphic xmlns:a="http://schemas.openxmlformats.org/drawingml/2006/main">
                      <a:graphicData uri="http://schemas.microsoft.com/office/word/2010/wordprocessingShape">
                        <wps:wsp>
                          <wps:cNvSpPr txBox="1"/>
                          <wps:spPr>
                            <a:xfrm>
                              <a:off x="0" y="0"/>
                              <a:ext cx="615315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C2729" w14:textId="5228C435" w:rsidR="005013FB" w:rsidRDefault="0087303C">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EndPr/>
                                  <w:sdtContent>
                                    <w:r w:rsidR="005013FB">
                                      <w:rPr>
                                        <w:color w:val="5B9BD5" w:themeColor="accent1"/>
                                        <w:sz w:val="72"/>
                                        <w:szCs w:val="72"/>
                                      </w:rPr>
                                      <w:t>Region 4 Risk Assessment Report</w:t>
                                    </w:r>
                                  </w:sdtContent>
                                </w:sdt>
                              </w:p>
                              <w:sdt>
                                <w:sdtPr>
                                  <w:rPr>
                                    <w:caps/>
                                    <w:color w:val="FF000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EndPr/>
                                <w:sdtContent>
                                  <w:p w14:paraId="2C4737AC" w14:textId="421AC1C7" w:rsidR="005013FB" w:rsidRPr="00887407" w:rsidRDefault="005013FB">
                                    <w:pPr>
                                      <w:pStyle w:val="NoSpacing"/>
                                      <w:spacing w:before="40" w:after="40"/>
                                      <w:rPr>
                                        <w:caps/>
                                        <w:color w:val="FF0000"/>
                                        <w:sz w:val="28"/>
                                        <w:szCs w:val="28"/>
                                      </w:rPr>
                                    </w:pPr>
                                    <w:r w:rsidRPr="00887407">
                                      <w:rPr>
                                        <w:caps/>
                                        <w:color w:val="FF0000"/>
                                        <w:sz w:val="28"/>
                                        <w:szCs w:val="28"/>
                                      </w:rPr>
                                      <w:t>d-r-a-f-t</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EndPr/>
                                <w:sdtContent>
                                  <w:p w14:paraId="432F8AEA" w14:textId="18F7656A" w:rsidR="005013FB" w:rsidRDefault="005013FB">
                                    <w:pPr>
                                      <w:pStyle w:val="NoSpacing"/>
                                      <w:spacing w:before="80" w:after="40"/>
                                      <w:rPr>
                                        <w:caps/>
                                        <w:color w:val="4472C4" w:themeColor="accent5"/>
                                        <w:sz w:val="24"/>
                                        <w:szCs w:val="24"/>
                                      </w:rPr>
                                    </w:pPr>
                                    <w:r>
                                      <w:rPr>
                                        <w:caps/>
                                        <w:color w:val="4472C4" w:themeColor="accent5"/>
                                        <w:sz w:val="24"/>
                                        <w:szCs w:val="24"/>
                                      </w:rPr>
                                      <w:t>2/9/2022</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50B4186" id="_x0000_t202" coordsize="21600,21600" o:spt="202" path="m,l,21600r21600,l21600,xe">
                    <v:stroke joinstyle="miter"/>
                    <v:path gradientshapeok="t" o:connecttype="rect"/>
                  </v:shapetype>
                  <v:shape id="Text Box 131" o:spid="_x0000_s1026" type="#_x0000_t202" style="position:absolute;margin-left:-3.75pt;margin-top:63.75pt;width:484.5pt;height:529.2pt;z-index:251660288;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4ogcwIAAFcFAAAOAAAAZHJzL2Uyb0RvYy54bWysVN9P2zAQfp+0/8Hy+0gLg6GKFHUgpkkI&#10;EGXi2XVsGs3xebbbpPvr99lJCmN7YdqLc7n77nw/vvPZedcYtlU+1GRLPj2YcKaspKq2TyX/9nD1&#10;4ZSzEIWthCGrSr5TgZ/P3787a91MHdKaTKU8QxAbZq0r+TpGNyuKINeqEeGAnLIwavKNiPj1T0Xl&#10;RYvojSkOJ5OToiVfOU9ShQDtZW/k8xxfayXjrdZBRWZKjtxiPn0+V+ks5mdi9uSFW9dySEP8QxaN&#10;qC0u3Ye6FFGwja//CNXU0lMgHQ8kNQVpXUuVa0A108mrapZr4VSuBc0Jbt+m8P/CypvtnWd1hdkd&#10;TTmzosGQHlQX2WfqWNKhQ60LMwCXDtDYwQD0qA9QpsI77Zv0RUkMdvR6t+9vCiehPJkeH02PYZKw&#10;nXw6nJx+zBMont2dD/GLooYloeQeA8x9FdvrEJEKoCMk3WbpqjYmD9FY1iLqEeL/ZoGHsUmjMh2G&#10;MKmkPvUsxZ1RCWPsvdJoR64gKTIR1YXxbCtAISGlsjEXn+MCnVAaSbzFccA/Z/UW576O8Wayce/c&#10;1JZ8rv5V2tX3MWXd49HIF3UnMXarbhj1iqodJu2p35bg5FWNaVyLEO+Ex3pgglj5eItDG0LXaZA4&#10;W5P/+Td9woO1sHLWYt1KHn5shFecma8WfE67OQp+FFajYDfNBaH9YCiyySIcfDSjqD01j3gJFukW&#10;mISVuKvkcRQvYr/0eEmkWiwyCBvoRLy2SydT6DSNxK2H7lF4NxAwgrs3NC6imL3iYY/NRHGLTQQb&#10;M0lTQ/suDo3G9mbuDi9Neh5e/mfU83s4/wUAAP//AwBQSwMEFAAGAAgAAAAhAI85CJ/fAAAACwEA&#10;AA8AAABkcnMvZG93bnJldi54bWxMj0FPwzAMhe9I/IfISNy2tEUdW2k6ARKISbuscOGWNaYpNE5p&#10;sq38e7wT3J6fn54/l+vJ9eKIY+g8KUjnCQikxpuOWgVvr0+zJYgQNRnde0IFPxhgXV1elLow/kQ7&#10;PNaxFVxCodAKbIxDIWVoLDod5n5A4t2HH52OPI6tNKM+cbnrZZYkC+l0R3zB6gEfLTZf9cEpeL8Z&#10;W2Nt/vCZbba41S/d8+a7Vur6arq/AxFxin9hOOMzOlTMtPcHMkH0Cma3OSfZz86CA6tFymLPTrrM&#10;VyCrUv7/ofoFAAD//wMAUEsBAi0AFAAGAAgAAAAhALaDOJL+AAAA4QEAABMAAAAAAAAAAAAAAAAA&#10;AAAAAFtDb250ZW50X1R5cGVzXS54bWxQSwECLQAUAAYACAAAACEAOP0h/9YAAACUAQAACwAAAAAA&#10;AAAAAAAAAAAvAQAAX3JlbHMvLnJlbHNQSwECLQAUAAYACAAAACEAEIuKIHMCAABXBQAADgAAAAAA&#10;AAAAAAAAAAAuAgAAZHJzL2Uyb0RvYy54bWxQSwECLQAUAAYACAAAACEAjzkIn98AAAALAQAADwAA&#10;AAAAAAAAAAAAAADNBAAAZHJzL2Rvd25yZXYueG1sUEsFBgAAAAAEAAQA8wAAANkFAAAAAA==&#10;" filled="f" stroked="f" strokeweight=".5pt">
                    <v:textbox style="mso-fit-shape-to-text:t" inset="0,0,0,0">
                      <w:txbxContent>
                        <w:p w14:paraId="4B0C2729" w14:textId="5228C435" w:rsidR="005013FB" w:rsidRDefault="005013FB">
                          <w:pPr>
                            <w:pStyle w:val="NoSpacing"/>
                            <w:spacing w:before="40" w:after="560" w:line="216" w:lineRule="auto"/>
                            <w:rPr>
                              <w:color w:val="5B9BD5" w:themeColor="accent1"/>
                              <w:sz w:val="72"/>
                              <w:szCs w:val="72"/>
                            </w:rPr>
                          </w:pPr>
                          <w:sdt>
                            <w:sdtPr>
                              <w:rPr>
                                <w:color w:val="5B9BD5" w:themeColor="accent1"/>
                                <w:sz w:val="72"/>
                                <w:szCs w:val="72"/>
                              </w:rPr>
                              <w:alias w:val="Title"/>
                              <w:tag w:val=""/>
                              <w:id w:val="151731938"/>
                              <w:dataBinding w:prefixMappings="xmlns:ns0='http://purl.org/dc/elements/1.1/' xmlns:ns1='http://schemas.openxmlformats.org/package/2006/metadata/core-properties' " w:xpath="/ns1:coreProperties[1]/ns0:title[1]" w:storeItemID="{6C3C8BC8-F283-45AE-878A-BAB7291924A1}"/>
                              <w:text/>
                            </w:sdtPr>
                            <w:sdtContent>
                              <w:r>
                                <w:rPr>
                                  <w:color w:val="5B9BD5" w:themeColor="accent1"/>
                                  <w:sz w:val="72"/>
                                  <w:szCs w:val="72"/>
                                </w:rPr>
                                <w:t>Region 4 Risk Assessment Report</w:t>
                              </w:r>
                            </w:sdtContent>
                          </w:sdt>
                        </w:p>
                        <w:sdt>
                          <w:sdtPr>
                            <w:rPr>
                              <w:caps/>
                              <w:color w:val="FF0000"/>
                              <w:sz w:val="28"/>
                              <w:szCs w:val="28"/>
                            </w:r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2C4737AC" w14:textId="421AC1C7" w:rsidR="005013FB" w:rsidRPr="00887407" w:rsidRDefault="005013FB">
                              <w:pPr>
                                <w:pStyle w:val="NoSpacing"/>
                                <w:spacing w:before="40" w:after="40"/>
                                <w:rPr>
                                  <w:caps/>
                                  <w:color w:val="FF0000"/>
                                  <w:sz w:val="28"/>
                                  <w:szCs w:val="28"/>
                                </w:rPr>
                              </w:pPr>
                              <w:r w:rsidRPr="00887407">
                                <w:rPr>
                                  <w:caps/>
                                  <w:color w:val="FF0000"/>
                                  <w:sz w:val="28"/>
                                  <w:szCs w:val="28"/>
                                </w:rPr>
                                <w:t>d-r-a-f-t</w:t>
                              </w:r>
                            </w:p>
                          </w:sdtContent>
                        </w:sdt>
                        <w:sdt>
                          <w:sdtPr>
                            <w:rPr>
                              <w:caps/>
                              <w:color w:val="4472C4" w:themeColor="accent5"/>
                              <w:sz w:val="24"/>
                              <w:szCs w:val="24"/>
                            </w:rPr>
                            <w:alias w:val="Auth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432F8AEA" w14:textId="18F7656A" w:rsidR="005013FB" w:rsidRDefault="005013FB">
                              <w:pPr>
                                <w:pStyle w:val="NoSpacing"/>
                                <w:spacing w:before="80" w:after="40"/>
                                <w:rPr>
                                  <w:caps/>
                                  <w:color w:val="4472C4" w:themeColor="accent5"/>
                                  <w:sz w:val="24"/>
                                  <w:szCs w:val="24"/>
                                </w:rPr>
                              </w:pPr>
                              <w:r>
                                <w:rPr>
                                  <w:caps/>
                                  <w:color w:val="4472C4" w:themeColor="accent5"/>
                                  <w:sz w:val="24"/>
                                  <w:szCs w:val="24"/>
                                </w:rPr>
                                <w:t>2/9/2022</w:t>
                              </w:r>
                            </w:p>
                          </w:sdtContent>
                        </w:sdt>
                      </w:txbxContent>
                    </v:textbox>
                    <w10:wrap type="square" anchorx="margin" anchory="page"/>
                  </v:shape>
                </w:pict>
              </mc:Fallback>
            </mc:AlternateContent>
          </w:r>
        </w:p>
        <w:p w14:paraId="14ED3A97" w14:textId="53A08417" w:rsidR="00B2775A" w:rsidRDefault="00887407">
          <w:r>
            <w:rPr>
              <w:noProof/>
            </w:rPr>
            <mc:AlternateContent>
              <mc:Choice Requires="wps">
                <w:drawing>
                  <wp:anchor distT="45720" distB="45720" distL="114300" distR="114300" simplePos="0" relativeHeight="251662336" behindDoc="0" locked="0" layoutInCell="1" allowOverlap="1" wp14:anchorId="12348F2F" wp14:editId="05A30250">
                    <wp:simplePos x="0" y="0"/>
                    <wp:positionH relativeFrom="column">
                      <wp:posOffset>4191000</wp:posOffset>
                    </wp:positionH>
                    <wp:positionV relativeFrom="paragraph">
                      <wp:posOffset>535305</wp:posOffset>
                    </wp:positionV>
                    <wp:extent cx="2360930" cy="1404620"/>
                    <wp:effectExtent l="0" t="0" r="381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C71E53A" w14:textId="2E7B1C7D" w:rsidR="005013FB" w:rsidRDefault="005013FB">
                                <w:r>
                                  <w:t>West Virginia University</w:t>
                                </w:r>
                                <w:r>
                                  <w:br/>
                                  <w:t>WV GIS Technical Center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348F2F" id="Text Box 2" o:spid="_x0000_s1027" type="#_x0000_t202" style="position:absolute;margin-left:330pt;margin-top:42.15pt;width:185.9pt;height:110.6pt;z-index:251662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AqvR7u4QAAAAsBAAAPAAAAZHJzL2Rvd25yZXYueG1sTI/L&#10;TsMwEEX3SPyDNUhsELWT0KgKmVTltWHXkkpdusk0CcTjKHbbwNfjrmA5mqt7z8mXk+nFiUbXWUaI&#10;ZgoEcWXrjhuE8uPtfgHCec217i0Twjc5WBbXV7nOanvmNZ02vhGhhF2mEVrvh0xKV7VktJvZgTj8&#10;DnY02odzbGQ96nMoN72MlUql0R2HhVYP9NxS9bU5GoSfp/Jl9Xrno0Psd/F2bd7L6lMj3t5Mq0cQ&#10;nib/F4YLfkCHIjDt7ZFrJ3qENFXBxSMsHhIQl4BKoiCzR0jUfA6yyOV/h+IXAAD//wMAUEsBAi0A&#10;FAAGAAgAAAAhALaDOJL+AAAA4QEAABMAAAAAAAAAAAAAAAAAAAAAAFtDb250ZW50X1R5cGVzXS54&#10;bWxQSwECLQAUAAYACAAAACEAOP0h/9YAAACUAQAACwAAAAAAAAAAAAAAAAAvAQAAX3JlbHMvLnJl&#10;bHNQSwECLQAUAAYACAAAACEAiJTIrSMCAAAlBAAADgAAAAAAAAAAAAAAAAAuAgAAZHJzL2Uyb0Rv&#10;Yy54bWxQSwECLQAUAAYACAAAACEAKr0e7uEAAAALAQAADwAAAAAAAAAAAAAAAAB9BAAAZHJzL2Rv&#10;d25yZXYueG1sUEsFBgAAAAAEAAQA8wAAAIsFAAAAAA==&#10;" stroked="f">
                    <v:textbox style="mso-fit-shape-to-text:t">
                      <w:txbxContent>
                        <w:p w14:paraId="1C71E53A" w14:textId="2E7B1C7D" w:rsidR="005013FB" w:rsidRDefault="005013FB">
                          <w:r>
                            <w:t>West Virginia University</w:t>
                          </w:r>
                          <w:r>
                            <w:br/>
                            <w:t>WV GIS Technical Center</w:t>
                          </w:r>
                        </w:p>
                      </w:txbxContent>
                    </v:textbox>
                    <w10:wrap type="square"/>
                  </v:shape>
                </w:pict>
              </mc:Fallback>
            </mc:AlternateContent>
          </w:r>
          <w:r w:rsidR="00B2775A">
            <w:br w:type="page"/>
          </w:r>
        </w:p>
      </w:sdtContent>
    </w:sdt>
    <w:p w14:paraId="164BABEC" w14:textId="77777777" w:rsidR="00D65F56" w:rsidRDefault="00D65F56" w:rsidP="008A6D30"/>
    <w:sdt>
      <w:sdtPr>
        <w:rPr>
          <w:rFonts w:asciiTheme="minorHAnsi" w:eastAsiaTheme="minorHAnsi" w:hAnsiTheme="minorHAnsi" w:cstheme="minorBidi"/>
          <w:color w:val="auto"/>
          <w:sz w:val="22"/>
          <w:szCs w:val="22"/>
        </w:rPr>
        <w:id w:val="256645055"/>
        <w:docPartObj>
          <w:docPartGallery w:val="Table of Contents"/>
          <w:docPartUnique/>
        </w:docPartObj>
      </w:sdtPr>
      <w:sdtEndPr>
        <w:rPr>
          <w:b/>
          <w:bCs/>
          <w:noProof/>
        </w:rPr>
      </w:sdtEndPr>
      <w:sdtContent>
        <w:p w14:paraId="4801C74A" w14:textId="048AB26E" w:rsidR="00E9667C" w:rsidRDefault="00E9667C">
          <w:pPr>
            <w:pStyle w:val="TOCHeading"/>
          </w:pPr>
          <w:r>
            <w:t>Contents</w:t>
          </w:r>
        </w:p>
        <w:p w14:paraId="1FBF488D" w14:textId="4B85918A" w:rsidR="0087303C" w:rsidRDefault="00E9667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14650817" w:history="1">
            <w:r w:rsidR="0087303C" w:rsidRPr="005F598B">
              <w:rPr>
                <w:rStyle w:val="Hyperlink"/>
                <w:noProof/>
              </w:rPr>
              <w:t>OVERVIEW</w:t>
            </w:r>
            <w:r w:rsidR="0087303C">
              <w:rPr>
                <w:noProof/>
                <w:webHidden/>
              </w:rPr>
              <w:tab/>
            </w:r>
            <w:r w:rsidR="0087303C">
              <w:rPr>
                <w:noProof/>
                <w:webHidden/>
              </w:rPr>
              <w:fldChar w:fldCharType="begin"/>
            </w:r>
            <w:r w:rsidR="0087303C">
              <w:rPr>
                <w:noProof/>
                <w:webHidden/>
              </w:rPr>
              <w:instrText xml:space="preserve"> PAGEREF _Toc114650817 \h </w:instrText>
            </w:r>
            <w:r w:rsidR="0087303C">
              <w:rPr>
                <w:noProof/>
                <w:webHidden/>
              </w:rPr>
            </w:r>
            <w:r w:rsidR="0087303C">
              <w:rPr>
                <w:noProof/>
                <w:webHidden/>
              </w:rPr>
              <w:fldChar w:fldCharType="separate"/>
            </w:r>
            <w:r w:rsidR="0087303C">
              <w:rPr>
                <w:noProof/>
                <w:webHidden/>
              </w:rPr>
              <w:t>1</w:t>
            </w:r>
            <w:r w:rsidR="0087303C">
              <w:rPr>
                <w:noProof/>
                <w:webHidden/>
              </w:rPr>
              <w:fldChar w:fldCharType="end"/>
            </w:r>
          </w:hyperlink>
        </w:p>
        <w:p w14:paraId="084EFB47" w14:textId="4AD1C138" w:rsidR="0087303C" w:rsidRDefault="0087303C">
          <w:pPr>
            <w:pStyle w:val="TOC1"/>
            <w:tabs>
              <w:tab w:val="right" w:leader="dot" w:pos="9350"/>
            </w:tabs>
            <w:rPr>
              <w:rFonts w:eastAsiaTheme="minorEastAsia"/>
              <w:noProof/>
            </w:rPr>
          </w:pPr>
          <w:hyperlink w:anchor="_Toc114650818" w:history="1">
            <w:r w:rsidRPr="005F598B">
              <w:rPr>
                <w:rStyle w:val="Hyperlink"/>
                <w:noProof/>
              </w:rPr>
              <w:t>FLOOD ZONE MAP INFORMATION</w:t>
            </w:r>
            <w:r>
              <w:rPr>
                <w:noProof/>
                <w:webHidden/>
              </w:rPr>
              <w:tab/>
            </w:r>
            <w:r>
              <w:rPr>
                <w:noProof/>
                <w:webHidden/>
              </w:rPr>
              <w:fldChar w:fldCharType="begin"/>
            </w:r>
            <w:r>
              <w:rPr>
                <w:noProof/>
                <w:webHidden/>
              </w:rPr>
              <w:instrText xml:space="preserve"> PAGEREF _Toc114650818 \h </w:instrText>
            </w:r>
            <w:r>
              <w:rPr>
                <w:noProof/>
                <w:webHidden/>
              </w:rPr>
            </w:r>
            <w:r>
              <w:rPr>
                <w:noProof/>
                <w:webHidden/>
              </w:rPr>
              <w:fldChar w:fldCharType="separate"/>
            </w:r>
            <w:r>
              <w:rPr>
                <w:noProof/>
                <w:webHidden/>
              </w:rPr>
              <w:t>2</w:t>
            </w:r>
            <w:r>
              <w:rPr>
                <w:noProof/>
                <w:webHidden/>
              </w:rPr>
              <w:fldChar w:fldCharType="end"/>
            </w:r>
          </w:hyperlink>
        </w:p>
        <w:p w14:paraId="590A9328" w14:textId="0C259912" w:rsidR="0087303C" w:rsidRDefault="0087303C">
          <w:pPr>
            <w:pStyle w:val="TOC2"/>
            <w:tabs>
              <w:tab w:val="right" w:leader="dot" w:pos="9350"/>
            </w:tabs>
            <w:rPr>
              <w:rFonts w:eastAsiaTheme="minorEastAsia"/>
              <w:noProof/>
            </w:rPr>
          </w:pPr>
          <w:hyperlink w:anchor="_Toc114650819" w:history="1">
            <w:r w:rsidRPr="005F598B">
              <w:rPr>
                <w:rStyle w:val="Hyperlink"/>
                <w:noProof/>
              </w:rPr>
              <w:t>Historical Flood Information</w:t>
            </w:r>
            <w:r>
              <w:rPr>
                <w:noProof/>
                <w:webHidden/>
              </w:rPr>
              <w:tab/>
            </w:r>
            <w:r>
              <w:rPr>
                <w:noProof/>
                <w:webHidden/>
              </w:rPr>
              <w:fldChar w:fldCharType="begin"/>
            </w:r>
            <w:r>
              <w:rPr>
                <w:noProof/>
                <w:webHidden/>
              </w:rPr>
              <w:instrText xml:space="preserve"> PAGEREF _Toc114650819 \h </w:instrText>
            </w:r>
            <w:r>
              <w:rPr>
                <w:noProof/>
                <w:webHidden/>
              </w:rPr>
            </w:r>
            <w:r>
              <w:rPr>
                <w:noProof/>
                <w:webHidden/>
              </w:rPr>
              <w:fldChar w:fldCharType="separate"/>
            </w:r>
            <w:r>
              <w:rPr>
                <w:noProof/>
                <w:webHidden/>
              </w:rPr>
              <w:t>2</w:t>
            </w:r>
            <w:r>
              <w:rPr>
                <w:noProof/>
                <w:webHidden/>
              </w:rPr>
              <w:fldChar w:fldCharType="end"/>
            </w:r>
          </w:hyperlink>
        </w:p>
        <w:p w14:paraId="05BC4080" w14:textId="638CD4F9" w:rsidR="0087303C" w:rsidRDefault="0087303C">
          <w:pPr>
            <w:pStyle w:val="TOC2"/>
            <w:tabs>
              <w:tab w:val="right" w:leader="dot" w:pos="9350"/>
            </w:tabs>
            <w:rPr>
              <w:rFonts w:eastAsiaTheme="minorEastAsia"/>
              <w:noProof/>
            </w:rPr>
          </w:pPr>
          <w:hyperlink w:anchor="_Toc114650820" w:history="1">
            <w:r w:rsidRPr="005F598B">
              <w:rPr>
                <w:rStyle w:val="Hyperlink"/>
                <w:noProof/>
              </w:rPr>
              <w:t>Active Flood Studies and Mapping</w:t>
            </w:r>
            <w:r>
              <w:rPr>
                <w:noProof/>
                <w:webHidden/>
              </w:rPr>
              <w:tab/>
            </w:r>
            <w:r>
              <w:rPr>
                <w:noProof/>
                <w:webHidden/>
              </w:rPr>
              <w:fldChar w:fldCharType="begin"/>
            </w:r>
            <w:r>
              <w:rPr>
                <w:noProof/>
                <w:webHidden/>
              </w:rPr>
              <w:instrText xml:space="preserve"> PAGEREF _Toc114650820 \h </w:instrText>
            </w:r>
            <w:r>
              <w:rPr>
                <w:noProof/>
                <w:webHidden/>
              </w:rPr>
            </w:r>
            <w:r>
              <w:rPr>
                <w:noProof/>
                <w:webHidden/>
              </w:rPr>
              <w:fldChar w:fldCharType="separate"/>
            </w:r>
            <w:r>
              <w:rPr>
                <w:noProof/>
                <w:webHidden/>
              </w:rPr>
              <w:t>2</w:t>
            </w:r>
            <w:r>
              <w:rPr>
                <w:noProof/>
                <w:webHidden/>
              </w:rPr>
              <w:fldChar w:fldCharType="end"/>
            </w:r>
          </w:hyperlink>
        </w:p>
        <w:p w14:paraId="22030F3F" w14:textId="7F5872A8" w:rsidR="0087303C" w:rsidRDefault="0087303C">
          <w:pPr>
            <w:pStyle w:val="TOC2"/>
            <w:tabs>
              <w:tab w:val="right" w:leader="dot" w:pos="9350"/>
            </w:tabs>
            <w:rPr>
              <w:rFonts w:eastAsiaTheme="minorEastAsia"/>
              <w:noProof/>
            </w:rPr>
          </w:pPr>
          <w:hyperlink w:anchor="_Toc114650821" w:history="1">
            <w:r w:rsidRPr="005F598B">
              <w:rPr>
                <w:rStyle w:val="Hyperlink"/>
                <w:noProof/>
              </w:rPr>
              <w:t>Flood Zone Measurements</w:t>
            </w:r>
            <w:r>
              <w:rPr>
                <w:noProof/>
                <w:webHidden/>
              </w:rPr>
              <w:tab/>
            </w:r>
            <w:r>
              <w:rPr>
                <w:noProof/>
                <w:webHidden/>
              </w:rPr>
              <w:fldChar w:fldCharType="begin"/>
            </w:r>
            <w:r>
              <w:rPr>
                <w:noProof/>
                <w:webHidden/>
              </w:rPr>
              <w:instrText xml:space="preserve"> PAGEREF _Toc114650821 \h </w:instrText>
            </w:r>
            <w:r>
              <w:rPr>
                <w:noProof/>
                <w:webHidden/>
              </w:rPr>
            </w:r>
            <w:r>
              <w:rPr>
                <w:noProof/>
                <w:webHidden/>
              </w:rPr>
              <w:fldChar w:fldCharType="separate"/>
            </w:r>
            <w:r>
              <w:rPr>
                <w:noProof/>
                <w:webHidden/>
              </w:rPr>
              <w:t>2</w:t>
            </w:r>
            <w:r>
              <w:rPr>
                <w:noProof/>
                <w:webHidden/>
              </w:rPr>
              <w:fldChar w:fldCharType="end"/>
            </w:r>
          </w:hyperlink>
        </w:p>
        <w:p w14:paraId="6A6CA5D2" w14:textId="1DE1AB17" w:rsidR="0087303C" w:rsidRDefault="0087303C">
          <w:pPr>
            <w:pStyle w:val="TOC3"/>
            <w:tabs>
              <w:tab w:val="right" w:leader="dot" w:pos="9350"/>
            </w:tabs>
            <w:rPr>
              <w:rFonts w:eastAsiaTheme="minorEastAsia"/>
              <w:noProof/>
            </w:rPr>
          </w:pPr>
          <w:hyperlink w:anchor="_Toc114650822" w:history="1">
            <w:r w:rsidRPr="005F598B">
              <w:rPr>
                <w:rStyle w:val="Hyperlink"/>
                <w:noProof/>
              </w:rPr>
              <w:t>Special Flood Hazard Area (in acres):</w:t>
            </w:r>
            <w:r>
              <w:rPr>
                <w:noProof/>
                <w:webHidden/>
              </w:rPr>
              <w:tab/>
            </w:r>
            <w:r>
              <w:rPr>
                <w:noProof/>
                <w:webHidden/>
              </w:rPr>
              <w:fldChar w:fldCharType="begin"/>
            </w:r>
            <w:r>
              <w:rPr>
                <w:noProof/>
                <w:webHidden/>
              </w:rPr>
              <w:instrText xml:space="preserve"> PAGEREF _Toc114650822 \h </w:instrText>
            </w:r>
            <w:r>
              <w:rPr>
                <w:noProof/>
                <w:webHidden/>
              </w:rPr>
            </w:r>
            <w:r>
              <w:rPr>
                <w:noProof/>
                <w:webHidden/>
              </w:rPr>
              <w:fldChar w:fldCharType="separate"/>
            </w:r>
            <w:r>
              <w:rPr>
                <w:noProof/>
                <w:webHidden/>
              </w:rPr>
              <w:t>3</w:t>
            </w:r>
            <w:r>
              <w:rPr>
                <w:noProof/>
                <w:webHidden/>
              </w:rPr>
              <w:fldChar w:fldCharType="end"/>
            </w:r>
          </w:hyperlink>
        </w:p>
        <w:p w14:paraId="6522637F" w14:textId="31D8D762" w:rsidR="0087303C" w:rsidRDefault="0087303C">
          <w:pPr>
            <w:pStyle w:val="TOC3"/>
            <w:tabs>
              <w:tab w:val="right" w:leader="dot" w:pos="9350"/>
            </w:tabs>
            <w:rPr>
              <w:rFonts w:eastAsiaTheme="minorEastAsia"/>
              <w:noProof/>
            </w:rPr>
          </w:pPr>
          <w:hyperlink w:anchor="_Toc114650823" w:history="1">
            <w:r w:rsidRPr="005F598B">
              <w:rPr>
                <w:rStyle w:val="Hyperlink"/>
                <w:noProof/>
              </w:rPr>
              <w:t>High-Risk Effective and Advisory Flood Zone Length (in miles):</w:t>
            </w:r>
            <w:r>
              <w:rPr>
                <w:noProof/>
                <w:webHidden/>
              </w:rPr>
              <w:tab/>
            </w:r>
            <w:r>
              <w:rPr>
                <w:noProof/>
                <w:webHidden/>
              </w:rPr>
              <w:fldChar w:fldCharType="begin"/>
            </w:r>
            <w:r>
              <w:rPr>
                <w:noProof/>
                <w:webHidden/>
              </w:rPr>
              <w:instrText xml:space="preserve"> PAGEREF _Toc114650823 \h </w:instrText>
            </w:r>
            <w:r>
              <w:rPr>
                <w:noProof/>
                <w:webHidden/>
              </w:rPr>
            </w:r>
            <w:r>
              <w:rPr>
                <w:noProof/>
                <w:webHidden/>
              </w:rPr>
              <w:fldChar w:fldCharType="separate"/>
            </w:r>
            <w:r>
              <w:rPr>
                <w:noProof/>
                <w:webHidden/>
              </w:rPr>
              <w:t>3</w:t>
            </w:r>
            <w:r>
              <w:rPr>
                <w:noProof/>
                <w:webHidden/>
              </w:rPr>
              <w:fldChar w:fldCharType="end"/>
            </w:r>
          </w:hyperlink>
        </w:p>
        <w:p w14:paraId="734FE2CA" w14:textId="7AEE7A5F" w:rsidR="0087303C" w:rsidRDefault="0087303C">
          <w:pPr>
            <w:pStyle w:val="TOC1"/>
            <w:tabs>
              <w:tab w:val="right" w:leader="dot" w:pos="9350"/>
            </w:tabs>
            <w:rPr>
              <w:rFonts w:eastAsiaTheme="minorEastAsia"/>
              <w:noProof/>
            </w:rPr>
          </w:pPr>
          <w:hyperlink w:anchor="_Toc114650824" w:history="1">
            <w:r w:rsidRPr="005F598B">
              <w:rPr>
                <w:rStyle w:val="Hyperlink"/>
                <w:noProof/>
              </w:rPr>
              <w:t>FLOODPLAIN BUILDING INVENTORY AND FUTURE MAP CONDITIONS</w:t>
            </w:r>
            <w:r>
              <w:rPr>
                <w:noProof/>
                <w:webHidden/>
              </w:rPr>
              <w:tab/>
            </w:r>
            <w:r>
              <w:rPr>
                <w:noProof/>
                <w:webHidden/>
              </w:rPr>
              <w:fldChar w:fldCharType="begin"/>
            </w:r>
            <w:r>
              <w:rPr>
                <w:noProof/>
                <w:webHidden/>
              </w:rPr>
              <w:instrText xml:space="preserve"> PAGEREF _Toc114650824 \h </w:instrText>
            </w:r>
            <w:r>
              <w:rPr>
                <w:noProof/>
                <w:webHidden/>
              </w:rPr>
            </w:r>
            <w:r>
              <w:rPr>
                <w:noProof/>
                <w:webHidden/>
              </w:rPr>
              <w:fldChar w:fldCharType="separate"/>
            </w:r>
            <w:r>
              <w:rPr>
                <w:noProof/>
                <w:webHidden/>
              </w:rPr>
              <w:t>4</w:t>
            </w:r>
            <w:r>
              <w:rPr>
                <w:noProof/>
                <w:webHidden/>
              </w:rPr>
              <w:fldChar w:fldCharType="end"/>
            </w:r>
          </w:hyperlink>
        </w:p>
        <w:p w14:paraId="5ABC4F8D" w14:textId="22FC93C1" w:rsidR="0087303C" w:rsidRDefault="0087303C">
          <w:pPr>
            <w:pStyle w:val="TOC2"/>
            <w:tabs>
              <w:tab w:val="right" w:leader="dot" w:pos="9350"/>
            </w:tabs>
            <w:rPr>
              <w:rFonts w:eastAsiaTheme="minorEastAsia"/>
              <w:noProof/>
            </w:rPr>
          </w:pPr>
          <w:hyperlink w:anchor="_Toc114650825" w:history="1">
            <w:r w:rsidRPr="005F598B">
              <w:rPr>
                <w:rStyle w:val="Hyperlink"/>
                <w:noProof/>
              </w:rPr>
              <w:t>Building Risk by Flood Source</w:t>
            </w:r>
            <w:r>
              <w:rPr>
                <w:noProof/>
                <w:webHidden/>
              </w:rPr>
              <w:tab/>
            </w:r>
            <w:r>
              <w:rPr>
                <w:noProof/>
                <w:webHidden/>
              </w:rPr>
              <w:fldChar w:fldCharType="begin"/>
            </w:r>
            <w:r>
              <w:rPr>
                <w:noProof/>
                <w:webHidden/>
              </w:rPr>
              <w:instrText xml:space="preserve"> PAGEREF _Toc114650825 \h </w:instrText>
            </w:r>
            <w:r>
              <w:rPr>
                <w:noProof/>
                <w:webHidden/>
              </w:rPr>
            </w:r>
            <w:r>
              <w:rPr>
                <w:noProof/>
                <w:webHidden/>
              </w:rPr>
              <w:fldChar w:fldCharType="separate"/>
            </w:r>
            <w:r>
              <w:rPr>
                <w:noProof/>
                <w:webHidden/>
              </w:rPr>
              <w:t>4</w:t>
            </w:r>
            <w:r>
              <w:rPr>
                <w:noProof/>
                <w:webHidden/>
              </w:rPr>
              <w:fldChar w:fldCharType="end"/>
            </w:r>
          </w:hyperlink>
        </w:p>
        <w:p w14:paraId="0544AAEB" w14:textId="62F7399F" w:rsidR="0087303C" w:rsidRDefault="0087303C">
          <w:pPr>
            <w:pStyle w:val="TOC2"/>
            <w:tabs>
              <w:tab w:val="right" w:leader="dot" w:pos="9350"/>
            </w:tabs>
            <w:rPr>
              <w:rFonts w:eastAsiaTheme="minorEastAsia"/>
              <w:noProof/>
            </w:rPr>
          </w:pPr>
          <w:hyperlink w:anchor="_Toc114650826" w:history="1">
            <w:r w:rsidRPr="005F598B">
              <w:rPr>
                <w:rStyle w:val="Hyperlink"/>
                <w:noProof/>
              </w:rPr>
              <w:t>Building Risk by Flood Zone</w:t>
            </w:r>
            <w:r>
              <w:rPr>
                <w:noProof/>
                <w:webHidden/>
              </w:rPr>
              <w:tab/>
            </w:r>
            <w:r>
              <w:rPr>
                <w:noProof/>
                <w:webHidden/>
              </w:rPr>
              <w:fldChar w:fldCharType="begin"/>
            </w:r>
            <w:r>
              <w:rPr>
                <w:noProof/>
                <w:webHidden/>
              </w:rPr>
              <w:instrText xml:space="preserve"> PAGEREF _Toc114650826 \h </w:instrText>
            </w:r>
            <w:r>
              <w:rPr>
                <w:noProof/>
                <w:webHidden/>
              </w:rPr>
            </w:r>
            <w:r>
              <w:rPr>
                <w:noProof/>
                <w:webHidden/>
              </w:rPr>
              <w:fldChar w:fldCharType="separate"/>
            </w:r>
            <w:r>
              <w:rPr>
                <w:noProof/>
                <w:webHidden/>
              </w:rPr>
              <w:t>4</w:t>
            </w:r>
            <w:r>
              <w:rPr>
                <w:noProof/>
                <w:webHidden/>
              </w:rPr>
              <w:fldChar w:fldCharType="end"/>
            </w:r>
          </w:hyperlink>
        </w:p>
        <w:p w14:paraId="365DB2EB" w14:textId="1DA24EC5" w:rsidR="0087303C" w:rsidRDefault="0087303C">
          <w:pPr>
            <w:pStyle w:val="TOC2"/>
            <w:tabs>
              <w:tab w:val="right" w:leader="dot" w:pos="9350"/>
            </w:tabs>
            <w:rPr>
              <w:rFonts w:eastAsiaTheme="minorEastAsia"/>
              <w:noProof/>
            </w:rPr>
          </w:pPr>
          <w:hyperlink w:anchor="_Toc114650827" w:history="1">
            <w:r w:rsidRPr="005F598B">
              <w:rPr>
                <w:rStyle w:val="Hyperlink"/>
                <w:noProof/>
              </w:rPr>
              <w:t>Summary Building Risk by Community Type</w:t>
            </w:r>
            <w:r>
              <w:rPr>
                <w:noProof/>
                <w:webHidden/>
              </w:rPr>
              <w:tab/>
            </w:r>
            <w:r>
              <w:rPr>
                <w:noProof/>
                <w:webHidden/>
              </w:rPr>
              <w:fldChar w:fldCharType="begin"/>
            </w:r>
            <w:r>
              <w:rPr>
                <w:noProof/>
                <w:webHidden/>
              </w:rPr>
              <w:instrText xml:space="preserve"> PAGEREF _Toc114650827 \h </w:instrText>
            </w:r>
            <w:r>
              <w:rPr>
                <w:noProof/>
                <w:webHidden/>
              </w:rPr>
            </w:r>
            <w:r>
              <w:rPr>
                <w:noProof/>
                <w:webHidden/>
              </w:rPr>
              <w:fldChar w:fldCharType="separate"/>
            </w:r>
            <w:r>
              <w:rPr>
                <w:noProof/>
                <w:webHidden/>
              </w:rPr>
              <w:t>5</w:t>
            </w:r>
            <w:r>
              <w:rPr>
                <w:noProof/>
                <w:webHidden/>
              </w:rPr>
              <w:fldChar w:fldCharType="end"/>
            </w:r>
          </w:hyperlink>
        </w:p>
        <w:p w14:paraId="43A5A807" w14:textId="59147437" w:rsidR="0087303C" w:rsidRDefault="0087303C">
          <w:pPr>
            <w:pStyle w:val="TOC2"/>
            <w:tabs>
              <w:tab w:val="right" w:leader="dot" w:pos="9350"/>
            </w:tabs>
            <w:rPr>
              <w:rFonts w:eastAsiaTheme="minorEastAsia"/>
              <w:noProof/>
            </w:rPr>
          </w:pPr>
          <w:hyperlink w:anchor="_Toc114650828" w:history="1">
            <w:r w:rsidRPr="005F598B">
              <w:rPr>
                <w:rStyle w:val="Hyperlink"/>
                <w:noProof/>
              </w:rPr>
              <w:t>Future Map Conditions – Structures Mapped into SFHA</w:t>
            </w:r>
            <w:r>
              <w:rPr>
                <w:noProof/>
                <w:webHidden/>
              </w:rPr>
              <w:tab/>
            </w:r>
            <w:r>
              <w:rPr>
                <w:noProof/>
                <w:webHidden/>
              </w:rPr>
              <w:fldChar w:fldCharType="begin"/>
            </w:r>
            <w:r>
              <w:rPr>
                <w:noProof/>
                <w:webHidden/>
              </w:rPr>
              <w:instrText xml:space="preserve"> PAGEREF _Toc114650828 \h </w:instrText>
            </w:r>
            <w:r>
              <w:rPr>
                <w:noProof/>
                <w:webHidden/>
              </w:rPr>
            </w:r>
            <w:r>
              <w:rPr>
                <w:noProof/>
                <w:webHidden/>
              </w:rPr>
              <w:fldChar w:fldCharType="separate"/>
            </w:r>
            <w:r>
              <w:rPr>
                <w:noProof/>
                <w:webHidden/>
              </w:rPr>
              <w:t>7</w:t>
            </w:r>
            <w:r>
              <w:rPr>
                <w:noProof/>
                <w:webHidden/>
              </w:rPr>
              <w:fldChar w:fldCharType="end"/>
            </w:r>
          </w:hyperlink>
        </w:p>
        <w:p w14:paraId="452BF965" w14:textId="07184945" w:rsidR="0087303C" w:rsidRDefault="0087303C">
          <w:pPr>
            <w:pStyle w:val="TOC2"/>
            <w:tabs>
              <w:tab w:val="right" w:leader="dot" w:pos="9350"/>
            </w:tabs>
            <w:rPr>
              <w:rFonts w:eastAsiaTheme="minorEastAsia"/>
              <w:noProof/>
            </w:rPr>
          </w:pPr>
          <w:hyperlink w:anchor="_Toc114650829" w:history="1">
            <w:r w:rsidRPr="005F598B">
              <w:rPr>
                <w:rStyle w:val="Hyperlink"/>
                <w:noProof/>
              </w:rPr>
              <w:t>Building Exposure and Type</w:t>
            </w:r>
            <w:r>
              <w:rPr>
                <w:noProof/>
                <w:webHidden/>
              </w:rPr>
              <w:tab/>
            </w:r>
            <w:r>
              <w:rPr>
                <w:noProof/>
                <w:webHidden/>
              </w:rPr>
              <w:fldChar w:fldCharType="begin"/>
            </w:r>
            <w:r>
              <w:rPr>
                <w:noProof/>
                <w:webHidden/>
              </w:rPr>
              <w:instrText xml:space="preserve"> PAGEREF _Toc114650829 \h </w:instrText>
            </w:r>
            <w:r>
              <w:rPr>
                <w:noProof/>
                <w:webHidden/>
              </w:rPr>
            </w:r>
            <w:r>
              <w:rPr>
                <w:noProof/>
                <w:webHidden/>
              </w:rPr>
              <w:fldChar w:fldCharType="separate"/>
            </w:r>
            <w:r>
              <w:rPr>
                <w:noProof/>
                <w:webHidden/>
              </w:rPr>
              <w:t>7</w:t>
            </w:r>
            <w:r>
              <w:rPr>
                <w:noProof/>
                <w:webHidden/>
              </w:rPr>
              <w:fldChar w:fldCharType="end"/>
            </w:r>
          </w:hyperlink>
        </w:p>
        <w:p w14:paraId="430B8443" w14:textId="1166E216" w:rsidR="0087303C" w:rsidRDefault="0087303C">
          <w:pPr>
            <w:pStyle w:val="TOC3"/>
            <w:tabs>
              <w:tab w:val="right" w:leader="dot" w:pos="9350"/>
            </w:tabs>
            <w:rPr>
              <w:rFonts w:eastAsiaTheme="minorEastAsia"/>
              <w:noProof/>
            </w:rPr>
          </w:pPr>
          <w:hyperlink w:anchor="_Toc114650830" w:history="1">
            <w:r w:rsidRPr="005F598B">
              <w:rPr>
                <w:rStyle w:val="Hyperlink"/>
                <w:noProof/>
              </w:rPr>
              <w:t>Primary Structures Vulnerable to Riverine Flooding Floodplain</w:t>
            </w:r>
            <w:r>
              <w:rPr>
                <w:noProof/>
                <w:webHidden/>
              </w:rPr>
              <w:tab/>
            </w:r>
            <w:r>
              <w:rPr>
                <w:noProof/>
                <w:webHidden/>
              </w:rPr>
              <w:fldChar w:fldCharType="begin"/>
            </w:r>
            <w:r>
              <w:rPr>
                <w:noProof/>
                <w:webHidden/>
              </w:rPr>
              <w:instrText xml:space="preserve"> PAGEREF _Toc114650830 \h </w:instrText>
            </w:r>
            <w:r>
              <w:rPr>
                <w:noProof/>
                <w:webHidden/>
              </w:rPr>
            </w:r>
            <w:r>
              <w:rPr>
                <w:noProof/>
                <w:webHidden/>
              </w:rPr>
              <w:fldChar w:fldCharType="separate"/>
            </w:r>
            <w:r>
              <w:rPr>
                <w:noProof/>
                <w:webHidden/>
              </w:rPr>
              <w:t>7</w:t>
            </w:r>
            <w:r>
              <w:rPr>
                <w:noProof/>
                <w:webHidden/>
              </w:rPr>
              <w:fldChar w:fldCharType="end"/>
            </w:r>
          </w:hyperlink>
        </w:p>
        <w:p w14:paraId="2BDDDFC0" w14:textId="78789285" w:rsidR="0087303C" w:rsidRDefault="0087303C">
          <w:pPr>
            <w:pStyle w:val="TOC3"/>
            <w:tabs>
              <w:tab w:val="right" w:leader="dot" w:pos="9350"/>
            </w:tabs>
            <w:rPr>
              <w:rFonts w:eastAsiaTheme="minorEastAsia"/>
              <w:noProof/>
            </w:rPr>
          </w:pPr>
          <w:hyperlink w:anchor="_Toc114650831" w:history="1">
            <w:r w:rsidRPr="005F598B">
              <w:rPr>
                <w:rStyle w:val="Hyperlink"/>
                <w:noProof/>
              </w:rPr>
              <w:t>Building Dollar Exposure</w:t>
            </w:r>
            <w:r>
              <w:rPr>
                <w:noProof/>
                <w:webHidden/>
              </w:rPr>
              <w:tab/>
            </w:r>
            <w:r>
              <w:rPr>
                <w:noProof/>
                <w:webHidden/>
              </w:rPr>
              <w:fldChar w:fldCharType="begin"/>
            </w:r>
            <w:r>
              <w:rPr>
                <w:noProof/>
                <w:webHidden/>
              </w:rPr>
              <w:instrText xml:space="preserve"> PAGEREF _Toc114650831 \h </w:instrText>
            </w:r>
            <w:r>
              <w:rPr>
                <w:noProof/>
                <w:webHidden/>
              </w:rPr>
            </w:r>
            <w:r>
              <w:rPr>
                <w:noProof/>
                <w:webHidden/>
              </w:rPr>
              <w:fldChar w:fldCharType="separate"/>
            </w:r>
            <w:r>
              <w:rPr>
                <w:noProof/>
                <w:webHidden/>
              </w:rPr>
              <w:t>7</w:t>
            </w:r>
            <w:r>
              <w:rPr>
                <w:noProof/>
                <w:webHidden/>
              </w:rPr>
              <w:fldChar w:fldCharType="end"/>
            </w:r>
          </w:hyperlink>
        </w:p>
        <w:p w14:paraId="79DD8151" w14:textId="0FB1D017" w:rsidR="0087303C" w:rsidRDefault="0087303C">
          <w:pPr>
            <w:pStyle w:val="TOC3"/>
            <w:tabs>
              <w:tab w:val="right" w:leader="dot" w:pos="9350"/>
            </w:tabs>
            <w:rPr>
              <w:rFonts w:eastAsiaTheme="minorEastAsia"/>
              <w:noProof/>
            </w:rPr>
          </w:pPr>
          <w:hyperlink w:anchor="_Toc114650832" w:history="1">
            <w:r w:rsidRPr="005F598B">
              <w:rPr>
                <w:rStyle w:val="Hyperlink"/>
                <w:noProof/>
              </w:rPr>
              <w:t>Residential/Non-Residential Occupancy Type</w:t>
            </w:r>
            <w:r>
              <w:rPr>
                <w:noProof/>
                <w:webHidden/>
              </w:rPr>
              <w:tab/>
            </w:r>
            <w:r>
              <w:rPr>
                <w:noProof/>
                <w:webHidden/>
              </w:rPr>
              <w:fldChar w:fldCharType="begin"/>
            </w:r>
            <w:r>
              <w:rPr>
                <w:noProof/>
                <w:webHidden/>
              </w:rPr>
              <w:instrText xml:space="preserve"> PAGEREF _Toc114650832 \h </w:instrText>
            </w:r>
            <w:r>
              <w:rPr>
                <w:noProof/>
                <w:webHidden/>
              </w:rPr>
            </w:r>
            <w:r>
              <w:rPr>
                <w:noProof/>
                <w:webHidden/>
              </w:rPr>
              <w:fldChar w:fldCharType="separate"/>
            </w:r>
            <w:r>
              <w:rPr>
                <w:noProof/>
                <w:webHidden/>
              </w:rPr>
              <w:t>7</w:t>
            </w:r>
            <w:r>
              <w:rPr>
                <w:noProof/>
                <w:webHidden/>
              </w:rPr>
              <w:fldChar w:fldCharType="end"/>
            </w:r>
          </w:hyperlink>
        </w:p>
        <w:p w14:paraId="41B705F3" w14:textId="664A67E2" w:rsidR="0087303C" w:rsidRDefault="0087303C">
          <w:pPr>
            <w:pStyle w:val="TOC3"/>
            <w:tabs>
              <w:tab w:val="right" w:leader="dot" w:pos="9350"/>
            </w:tabs>
            <w:rPr>
              <w:rFonts w:eastAsiaTheme="minorEastAsia"/>
              <w:noProof/>
            </w:rPr>
          </w:pPr>
          <w:hyperlink w:anchor="_Toc114650833" w:history="1">
            <w:r w:rsidRPr="005F598B">
              <w:rPr>
                <w:rStyle w:val="Hyperlink"/>
                <w:noProof/>
              </w:rPr>
              <w:t>Median Building Replacement Value</w:t>
            </w:r>
            <w:r>
              <w:rPr>
                <w:noProof/>
                <w:webHidden/>
              </w:rPr>
              <w:tab/>
            </w:r>
            <w:r>
              <w:rPr>
                <w:noProof/>
                <w:webHidden/>
              </w:rPr>
              <w:fldChar w:fldCharType="begin"/>
            </w:r>
            <w:r>
              <w:rPr>
                <w:noProof/>
                <w:webHidden/>
              </w:rPr>
              <w:instrText xml:space="preserve"> PAGEREF _Toc114650833 \h </w:instrText>
            </w:r>
            <w:r>
              <w:rPr>
                <w:noProof/>
                <w:webHidden/>
              </w:rPr>
            </w:r>
            <w:r>
              <w:rPr>
                <w:noProof/>
                <w:webHidden/>
              </w:rPr>
              <w:fldChar w:fldCharType="separate"/>
            </w:r>
            <w:r>
              <w:rPr>
                <w:noProof/>
                <w:webHidden/>
              </w:rPr>
              <w:t>8</w:t>
            </w:r>
            <w:r>
              <w:rPr>
                <w:noProof/>
                <w:webHidden/>
              </w:rPr>
              <w:fldChar w:fldCharType="end"/>
            </w:r>
          </w:hyperlink>
        </w:p>
        <w:p w14:paraId="256C0921" w14:textId="236726ED" w:rsidR="0087303C" w:rsidRDefault="0087303C">
          <w:pPr>
            <w:pStyle w:val="TOC3"/>
            <w:tabs>
              <w:tab w:val="right" w:leader="dot" w:pos="9350"/>
            </w:tabs>
            <w:rPr>
              <w:rFonts w:eastAsiaTheme="minorEastAsia"/>
              <w:noProof/>
            </w:rPr>
          </w:pPr>
          <w:hyperlink w:anchor="_Toc114650834" w:history="1">
            <w:r w:rsidRPr="005F598B">
              <w:rPr>
                <w:rStyle w:val="Hyperlink"/>
                <w:noProof/>
              </w:rPr>
              <w:t>Owner Occupied</w:t>
            </w:r>
            <w:r>
              <w:rPr>
                <w:noProof/>
                <w:webHidden/>
              </w:rPr>
              <w:tab/>
            </w:r>
            <w:r>
              <w:rPr>
                <w:noProof/>
                <w:webHidden/>
              </w:rPr>
              <w:fldChar w:fldCharType="begin"/>
            </w:r>
            <w:r>
              <w:rPr>
                <w:noProof/>
                <w:webHidden/>
              </w:rPr>
              <w:instrText xml:space="preserve"> PAGEREF _Toc114650834 \h </w:instrText>
            </w:r>
            <w:r>
              <w:rPr>
                <w:noProof/>
                <w:webHidden/>
              </w:rPr>
            </w:r>
            <w:r>
              <w:rPr>
                <w:noProof/>
                <w:webHidden/>
              </w:rPr>
              <w:fldChar w:fldCharType="separate"/>
            </w:r>
            <w:r>
              <w:rPr>
                <w:noProof/>
                <w:webHidden/>
              </w:rPr>
              <w:t>8</w:t>
            </w:r>
            <w:r>
              <w:rPr>
                <w:noProof/>
                <w:webHidden/>
              </w:rPr>
              <w:fldChar w:fldCharType="end"/>
            </w:r>
          </w:hyperlink>
        </w:p>
        <w:p w14:paraId="3CA70643" w14:textId="77A902F5" w:rsidR="0087303C" w:rsidRDefault="0087303C">
          <w:pPr>
            <w:pStyle w:val="TOC3"/>
            <w:tabs>
              <w:tab w:val="right" w:leader="dot" w:pos="9350"/>
            </w:tabs>
            <w:rPr>
              <w:rFonts w:eastAsiaTheme="minorEastAsia"/>
              <w:noProof/>
            </w:rPr>
          </w:pPr>
          <w:hyperlink w:anchor="_Toc114650835" w:history="1">
            <w:r w:rsidRPr="005F598B">
              <w:rPr>
                <w:rStyle w:val="Hyperlink"/>
                <w:noProof/>
              </w:rPr>
              <w:t>The Manufactured Homes</w:t>
            </w:r>
            <w:r>
              <w:rPr>
                <w:noProof/>
                <w:webHidden/>
              </w:rPr>
              <w:tab/>
            </w:r>
            <w:r>
              <w:rPr>
                <w:noProof/>
                <w:webHidden/>
              </w:rPr>
              <w:fldChar w:fldCharType="begin"/>
            </w:r>
            <w:r>
              <w:rPr>
                <w:noProof/>
                <w:webHidden/>
              </w:rPr>
              <w:instrText xml:space="preserve"> PAGEREF _Toc114650835 \h </w:instrText>
            </w:r>
            <w:r>
              <w:rPr>
                <w:noProof/>
                <w:webHidden/>
              </w:rPr>
            </w:r>
            <w:r>
              <w:rPr>
                <w:noProof/>
                <w:webHidden/>
              </w:rPr>
              <w:fldChar w:fldCharType="separate"/>
            </w:r>
            <w:r>
              <w:rPr>
                <w:noProof/>
                <w:webHidden/>
              </w:rPr>
              <w:t>8</w:t>
            </w:r>
            <w:r>
              <w:rPr>
                <w:noProof/>
                <w:webHidden/>
              </w:rPr>
              <w:fldChar w:fldCharType="end"/>
            </w:r>
          </w:hyperlink>
        </w:p>
        <w:p w14:paraId="6EA818EB" w14:textId="53633121" w:rsidR="0087303C" w:rsidRDefault="0087303C">
          <w:pPr>
            <w:pStyle w:val="TOC3"/>
            <w:tabs>
              <w:tab w:val="right" w:leader="dot" w:pos="9350"/>
            </w:tabs>
            <w:rPr>
              <w:rFonts w:eastAsiaTheme="minorEastAsia"/>
              <w:noProof/>
            </w:rPr>
          </w:pPr>
          <w:hyperlink w:anchor="_Toc114650836" w:history="1">
            <w:r w:rsidRPr="005F598B">
              <w:rPr>
                <w:rStyle w:val="Hyperlink"/>
                <w:noProof/>
              </w:rPr>
              <w:t>Historical Structures (Building Year)</w:t>
            </w:r>
            <w:r>
              <w:rPr>
                <w:noProof/>
                <w:webHidden/>
              </w:rPr>
              <w:tab/>
            </w:r>
            <w:r>
              <w:rPr>
                <w:noProof/>
                <w:webHidden/>
              </w:rPr>
              <w:fldChar w:fldCharType="begin"/>
            </w:r>
            <w:r>
              <w:rPr>
                <w:noProof/>
                <w:webHidden/>
              </w:rPr>
              <w:instrText xml:space="preserve"> PAGEREF _Toc114650836 \h </w:instrText>
            </w:r>
            <w:r>
              <w:rPr>
                <w:noProof/>
                <w:webHidden/>
              </w:rPr>
            </w:r>
            <w:r>
              <w:rPr>
                <w:noProof/>
                <w:webHidden/>
              </w:rPr>
              <w:fldChar w:fldCharType="separate"/>
            </w:r>
            <w:r>
              <w:rPr>
                <w:noProof/>
                <w:webHidden/>
              </w:rPr>
              <w:t>8</w:t>
            </w:r>
            <w:r>
              <w:rPr>
                <w:noProof/>
                <w:webHidden/>
              </w:rPr>
              <w:fldChar w:fldCharType="end"/>
            </w:r>
          </w:hyperlink>
        </w:p>
        <w:p w14:paraId="41D0F4BE" w14:textId="472B91F1" w:rsidR="0087303C" w:rsidRDefault="0087303C">
          <w:pPr>
            <w:pStyle w:val="TOC3"/>
            <w:tabs>
              <w:tab w:val="right" w:leader="dot" w:pos="9350"/>
            </w:tabs>
            <w:rPr>
              <w:rFonts w:eastAsiaTheme="minorEastAsia"/>
              <w:noProof/>
            </w:rPr>
          </w:pPr>
          <w:hyperlink w:anchor="_Toc114650837" w:history="1">
            <w:r w:rsidRPr="005F598B">
              <w:rPr>
                <w:rStyle w:val="Hyperlink"/>
                <w:noProof/>
              </w:rPr>
              <w:t>New Development (Building Year and FIRM Status)</w:t>
            </w:r>
            <w:r>
              <w:rPr>
                <w:noProof/>
                <w:webHidden/>
              </w:rPr>
              <w:tab/>
            </w:r>
            <w:r>
              <w:rPr>
                <w:noProof/>
                <w:webHidden/>
              </w:rPr>
              <w:fldChar w:fldCharType="begin"/>
            </w:r>
            <w:r>
              <w:rPr>
                <w:noProof/>
                <w:webHidden/>
              </w:rPr>
              <w:instrText xml:space="preserve"> PAGEREF _Toc114650837 \h </w:instrText>
            </w:r>
            <w:r>
              <w:rPr>
                <w:noProof/>
                <w:webHidden/>
              </w:rPr>
            </w:r>
            <w:r>
              <w:rPr>
                <w:noProof/>
                <w:webHidden/>
              </w:rPr>
              <w:fldChar w:fldCharType="separate"/>
            </w:r>
            <w:r>
              <w:rPr>
                <w:noProof/>
                <w:webHidden/>
              </w:rPr>
              <w:t>8</w:t>
            </w:r>
            <w:r>
              <w:rPr>
                <w:noProof/>
                <w:webHidden/>
              </w:rPr>
              <w:fldChar w:fldCharType="end"/>
            </w:r>
          </w:hyperlink>
        </w:p>
        <w:p w14:paraId="084A0328" w14:textId="71E22606" w:rsidR="0087303C" w:rsidRDefault="0087303C">
          <w:pPr>
            <w:pStyle w:val="TOC1"/>
            <w:tabs>
              <w:tab w:val="right" w:leader="dot" w:pos="9350"/>
            </w:tabs>
            <w:rPr>
              <w:rFonts w:eastAsiaTheme="minorEastAsia"/>
              <w:noProof/>
            </w:rPr>
          </w:pPr>
          <w:hyperlink w:anchor="_Toc114650838" w:history="1">
            <w:r w:rsidRPr="005F598B">
              <w:rPr>
                <w:rStyle w:val="Hyperlink"/>
                <w:noProof/>
              </w:rPr>
              <w:t>SIGNIFCANT STRUCTURES OF IMPORTANCE</w:t>
            </w:r>
            <w:r>
              <w:rPr>
                <w:noProof/>
                <w:webHidden/>
              </w:rPr>
              <w:tab/>
            </w:r>
            <w:r>
              <w:rPr>
                <w:noProof/>
                <w:webHidden/>
              </w:rPr>
              <w:fldChar w:fldCharType="begin"/>
            </w:r>
            <w:r>
              <w:rPr>
                <w:noProof/>
                <w:webHidden/>
              </w:rPr>
              <w:instrText xml:space="preserve"> PAGEREF _Toc114650838 \h </w:instrText>
            </w:r>
            <w:r>
              <w:rPr>
                <w:noProof/>
                <w:webHidden/>
              </w:rPr>
            </w:r>
            <w:r>
              <w:rPr>
                <w:noProof/>
                <w:webHidden/>
              </w:rPr>
              <w:fldChar w:fldCharType="separate"/>
            </w:r>
            <w:r>
              <w:rPr>
                <w:noProof/>
                <w:webHidden/>
              </w:rPr>
              <w:t>9</w:t>
            </w:r>
            <w:r>
              <w:rPr>
                <w:noProof/>
                <w:webHidden/>
              </w:rPr>
              <w:fldChar w:fldCharType="end"/>
            </w:r>
          </w:hyperlink>
        </w:p>
        <w:p w14:paraId="1A67B8C0" w14:textId="3A26120A" w:rsidR="0087303C" w:rsidRDefault="0087303C">
          <w:pPr>
            <w:pStyle w:val="TOC2"/>
            <w:tabs>
              <w:tab w:val="right" w:leader="dot" w:pos="9350"/>
            </w:tabs>
            <w:rPr>
              <w:rFonts w:eastAsiaTheme="minorEastAsia"/>
              <w:noProof/>
            </w:rPr>
          </w:pPr>
          <w:hyperlink w:anchor="_Toc114650839" w:history="1">
            <w:r w:rsidRPr="005F598B">
              <w:rPr>
                <w:rStyle w:val="Hyperlink"/>
                <w:noProof/>
              </w:rPr>
              <w:t>Essential Facilities</w:t>
            </w:r>
            <w:r>
              <w:rPr>
                <w:noProof/>
                <w:webHidden/>
              </w:rPr>
              <w:tab/>
            </w:r>
            <w:r>
              <w:rPr>
                <w:noProof/>
                <w:webHidden/>
              </w:rPr>
              <w:fldChar w:fldCharType="begin"/>
            </w:r>
            <w:r>
              <w:rPr>
                <w:noProof/>
                <w:webHidden/>
              </w:rPr>
              <w:instrText xml:space="preserve"> PAGEREF _Toc114650839 \h </w:instrText>
            </w:r>
            <w:r>
              <w:rPr>
                <w:noProof/>
                <w:webHidden/>
              </w:rPr>
            </w:r>
            <w:r>
              <w:rPr>
                <w:noProof/>
                <w:webHidden/>
              </w:rPr>
              <w:fldChar w:fldCharType="separate"/>
            </w:r>
            <w:r>
              <w:rPr>
                <w:noProof/>
                <w:webHidden/>
              </w:rPr>
              <w:t>9</w:t>
            </w:r>
            <w:r>
              <w:rPr>
                <w:noProof/>
                <w:webHidden/>
              </w:rPr>
              <w:fldChar w:fldCharType="end"/>
            </w:r>
          </w:hyperlink>
        </w:p>
        <w:p w14:paraId="18275F77" w14:textId="61A510F5" w:rsidR="0087303C" w:rsidRDefault="0087303C">
          <w:pPr>
            <w:pStyle w:val="TOC3"/>
            <w:tabs>
              <w:tab w:val="right" w:leader="dot" w:pos="9350"/>
            </w:tabs>
            <w:rPr>
              <w:rFonts w:eastAsiaTheme="minorEastAsia"/>
              <w:noProof/>
            </w:rPr>
          </w:pPr>
          <w:hyperlink w:anchor="_Toc114650840" w:history="1">
            <w:r w:rsidRPr="005F598B">
              <w:rPr>
                <w:rStyle w:val="Hyperlink"/>
                <w:noProof/>
              </w:rPr>
              <w:t>Essential Facilities Vulnerable to Riverine Flooding</w:t>
            </w:r>
            <w:r>
              <w:rPr>
                <w:noProof/>
                <w:webHidden/>
              </w:rPr>
              <w:tab/>
            </w:r>
            <w:r>
              <w:rPr>
                <w:noProof/>
                <w:webHidden/>
              </w:rPr>
              <w:fldChar w:fldCharType="begin"/>
            </w:r>
            <w:r>
              <w:rPr>
                <w:noProof/>
                <w:webHidden/>
              </w:rPr>
              <w:instrText xml:space="preserve"> PAGEREF _Toc114650840 \h </w:instrText>
            </w:r>
            <w:r>
              <w:rPr>
                <w:noProof/>
                <w:webHidden/>
              </w:rPr>
            </w:r>
            <w:r>
              <w:rPr>
                <w:noProof/>
                <w:webHidden/>
              </w:rPr>
              <w:fldChar w:fldCharType="separate"/>
            </w:r>
            <w:r>
              <w:rPr>
                <w:noProof/>
                <w:webHidden/>
              </w:rPr>
              <w:t>9</w:t>
            </w:r>
            <w:r>
              <w:rPr>
                <w:noProof/>
                <w:webHidden/>
              </w:rPr>
              <w:fldChar w:fldCharType="end"/>
            </w:r>
          </w:hyperlink>
        </w:p>
        <w:p w14:paraId="3986172C" w14:textId="095570AA" w:rsidR="0087303C" w:rsidRDefault="0087303C">
          <w:pPr>
            <w:pStyle w:val="TOC3"/>
            <w:tabs>
              <w:tab w:val="right" w:leader="dot" w:pos="9350"/>
            </w:tabs>
            <w:rPr>
              <w:rFonts w:eastAsiaTheme="minorEastAsia"/>
              <w:noProof/>
            </w:rPr>
          </w:pPr>
          <w:hyperlink w:anchor="_Toc114650841" w:history="1">
            <w:r w:rsidRPr="005F598B">
              <w:rPr>
                <w:rStyle w:val="Hyperlink"/>
                <w:noProof/>
              </w:rPr>
              <w:t>Essential Facilities by Type</w:t>
            </w:r>
            <w:r>
              <w:rPr>
                <w:noProof/>
                <w:webHidden/>
              </w:rPr>
              <w:tab/>
            </w:r>
            <w:r>
              <w:rPr>
                <w:noProof/>
                <w:webHidden/>
              </w:rPr>
              <w:fldChar w:fldCharType="begin"/>
            </w:r>
            <w:r>
              <w:rPr>
                <w:noProof/>
                <w:webHidden/>
              </w:rPr>
              <w:instrText xml:space="preserve"> PAGEREF _Toc114650841 \h </w:instrText>
            </w:r>
            <w:r>
              <w:rPr>
                <w:noProof/>
                <w:webHidden/>
              </w:rPr>
            </w:r>
            <w:r>
              <w:rPr>
                <w:noProof/>
                <w:webHidden/>
              </w:rPr>
              <w:fldChar w:fldCharType="separate"/>
            </w:r>
            <w:r>
              <w:rPr>
                <w:noProof/>
                <w:webHidden/>
              </w:rPr>
              <w:t>9</w:t>
            </w:r>
            <w:r>
              <w:rPr>
                <w:noProof/>
                <w:webHidden/>
              </w:rPr>
              <w:fldChar w:fldCharType="end"/>
            </w:r>
          </w:hyperlink>
        </w:p>
        <w:p w14:paraId="6833BCA3" w14:textId="47410836" w:rsidR="0087303C" w:rsidRDefault="0087303C">
          <w:pPr>
            <w:pStyle w:val="TOC3"/>
            <w:tabs>
              <w:tab w:val="right" w:leader="dot" w:pos="9350"/>
            </w:tabs>
            <w:rPr>
              <w:rFonts w:eastAsiaTheme="minorEastAsia"/>
              <w:noProof/>
            </w:rPr>
          </w:pPr>
          <w:hyperlink w:anchor="_Toc114650842" w:history="1">
            <w:r w:rsidRPr="005F598B">
              <w:rPr>
                <w:rStyle w:val="Hyperlink"/>
                <w:noProof/>
              </w:rPr>
              <w:t>Essential Facilities by Flood Depth</w:t>
            </w:r>
            <w:r>
              <w:rPr>
                <w:noProof/>
                <w:webHidden/>
              </w:rPr>
              <w:tab/>
            </w:r>
            <w:r>
              <w:rPr>
                <w:noProof/>
                <w:webHidden/>
              </w:rPr>
              <w:fldChar w:fldCharType="begin"/>
            </w:r>
            <w:r>
              <w:rPr>
                <w:noProof/>
                <w:webHidden/>
              </w:rPr>
              <w:instrText xml:space="preserve"> PAGEREF _Toc114650842 \h </w:instrText>
            </w:r>
            <w:r>
              <w:rPr>
                <w:noProof/>
                <w:webHidden/>
              </w:rPr>
            </w:r>
            <w:r>
              <w:rPr>
                <w:noProof/>
                <w:webHidden/>
              </w:rPr>
              <w:fldChar w:fldCharType="separate"/>
            </w:r>
            <w:r>
              <w:rPr>
                <w:noProof/>
                <w:webHidden/>
              </w:rPr>
              <w:t>9</w:t>
            </w:r>
            <w:r>
              <w:rPr>
                <w:noProof/>
                <w:webHidden/>
              </w:rPr>
              <w:fldChar w:fldCharType="end"/>
            </w:r>
          </w:hyperlink>
        </w:p>
        <w:p w14:paraId="23D8A843" w14:textId="6EFEB122" w:rsidR="0087303C" w:rsidRDefault="0087303C">
          <w:pPr>
            <w:pStyle w:val="TOC2"/>
            <w:tabs>
              <w:tab w:val="right" w:leader="dot" w:pos="9350"/>
            </w:tabs>
            <w:rPr>
              <w:rFonts w:eastAsiaTheme="minorEastAsia"/>
              <w:noProof/>
            </w:rPr>
          </w:pPr>
          <w:hyperlink w:anchor="_Toc114650843" w:history="1">
            <w:r w:rsidRPr="005F598B">
              <w:rPr>
                <w:rStyle w:val="Hyperlink"/>
                <w:noProof/>
              </w:rPr>
              <w:t>Community Assets</w:t>
            </w:r>
            <w:r>
              <w:rPr>
                <w:noProof/>
                <w:webHidden/>
              </w:rPr>
              <w:tab/>
            </w:r>
            <w:r>
              <w:rPr>
                <w:noProof/>
                <w:webHidden/>
              </w:rPr>
              <w:fldChar w:fldCharType="begin"/>
            </w:r>
            <w:r>
              <w:rPr>
                <w:noProof/>
                <w:webHidden/>
              </w:rPr>
              <w:instrText xml:space="preserve"> PAGEREF _Toc114650843 \h </w:instrText>
            </w:r>
            <w:r>
              <w:rPr>
                <w:noProof/>
                <w:webHidden/>
              </w:rPr>
            </w:r>
            <w:r>
              <w:rPr>
                <w:noProof/>
                <w:webHidden/>
              </w:rPr>
              <w:fldChar w:fldCharType="separate"/>
            </w:r>
            <w:r>
              <w:rPr>
                <w:noProof/>
                <w:webHidden/>
              </w:rPr>
              <w:t>9</w:t>
            </w:r>
            <w:r>
              <w:rPr>
                <w:noProof/>
                <w:webHidden/>
              </w:rPr>
              <w:fldChar w:fldCharType="end"/>
            </w:r>
          </w:hyperlink>
        </w:p>
        <w:p w14:paraId="49BBCD29" w14:textId="433CD687" w:rsidR="0087303C" w:rsidRDefault="0087303C">
          <w:pPr>
            <w:pStyle w:val="TOC3"/>
            <w:tabs>
              <w:tab w:val="right" w:leader="dot" w:pos="9350"/>
            </w:tabs>
            <w:rPr>
              <w:rFonts w:eastAsiaTheme="minorEastAsia"/>
              <w:noProof/>
            </w:rPr>
          </w:pPr>
          <w:hyperlink w:anchor="_Toc114650844" w:history="1">
            <w:r w:rsidRPr="005F598B">
              <w:rPr>
                <w:rStyle w:val="Hyperlink"/>
                <w:noProof/>
              </w:rPr>
              <w:t>Community Assets Vulnerable to Riverine Flooding</w:t>
            </w:r>
            <w:r>
              <w:rPr>
                <w:noProof/>
                <w:webHidden/>
              </w:rPr>
              <w:tab/>
            </w:r>
            <w:r>
              <w:rPr>
                <w:noProof/>
                <w:webHidden/>
              </w:rPr>
              <w:fldChar w:fldCharType="begin"/>
            </w:r>
            <w:r>
              <w:rPr>
                <w:noProof/>
                <w:webHidden/>
              </w:rPr>
              <w:instrText xml:space="preserve"> PAGEREF _Toc114650844 \h </w:instrText>
            </w:r>
            <w:r>
              <w:rPr>
                <w:noProof/>
                <w:webHidden/>
              </w:rPr>
            </w:r>
            <w:r>
              <w:rPr>
                <w:noProof/>
                <w:webHidden/>
              </w:rPr>
              <w:fldChar w:fldCharType="separate"/>
            </w:r>
            <w:r>
              <w:rPr>
                <w:noProof/>
                <w:webHidden/>
              </w:rPr>
              <w:t>9</w:t>
            </w:r>
            <w:r>
              <w:rPr>
                <w:noProof/>
                <w:webHidden/>
              </w:rPr>
              <w:fldChar w:fldCharType="end"/>
            </w:r>
          </w:hyperlink>
        </w:p>
        <w:p w14:paraId="44BA67EC" w14:textId="2F336A36" w:rsidR="0087303C" w:rsidRDefault="0087303C">
          <w:pPr>
            <w:pStyle w:val="TOC3"/>
            <w:tabs>
              <w:tab w:val="right" w:leader="dot" w:pos="9350"/>
            </w:tabs>
            <w:rPr>
              <w:rFonts w:eastAsiaTheme="minorEastAsia"/>
              <w:noProof/>
            </w:rPr>
          </w:pPr>
          <w:hyperlink w:anchor="_Toc114650845" w:history="1">
            <w:r w:rsidRPr="005F598B">
              <w:rPr>
                <w:rStyle w:val="Hyperlink"/>
                <w:noProof/>
              </w:rPr>
              <w:t>Historical Community Assets</w:t>
            </w:r>
            <w:r>
              <w:rPr>
                <w:noProof/>
                <w:webHidden/>
              </w:rPr>
              <w:tab/>
            </w:r>
            <w:r>
              <w:rPr>
                <w:noProof/>
                <w:webHidden/>
              </w:rPr>
              <w:fldChar w:fldCharType="begin"/>
            </w:r>
            <w:r>
              <w:rPr>
                <w:noProof/>
                <w:webHidden/>
              </w:rPr>
              <w:instrText xml:space="preserve"> PAGEREF _Toc114650845 \h </w:instrText>
            </w:r>
            <w:r>
              <w:rPr>
                <w:noProof/>
                <w:webHidden/>
              </w:rPr>
            </w:r>
            <w:r>
              <w:rPr>
                <w:noProof/>
                <w:webHidden/>
              </w:rPr>
              <w:fldChar w:fldCharType="separate"/>
            </w:r>
            <w:r>
              <w:rPr>
                <w:noProof/>
                <w:webHidden/>
              </w:rPr>
              <w:t>10</w:t>
            </w:r>
            <w:r>
              <w:rPr>
                <w:noProof/>
                <w:webHidden/>
              </w:rPr>
              <w:fldChar w:fldCharType="end"/>
            </w:r>
          </w:hyperlink>
        </w:p>
        <w:p w14:paraId="3E31B442" w14:textId="604A0831" w:rsidR="0087303C" w:rsidRDefault="0087303C">
          <w:pPr>
            <w:pStyle w:val="TOC1"/>
            <w:tabs>
              <w:tab w:val="right" w:leader="dot" w:pos="9350"/>
            </w:tabs>
            <w:rPr>
              <w:rFonts w:eastAsiaTheme="minorEastAsia"/>
              <w:noProof/>
            </w:rPr>
          </w:pPr>
          <w:hyperlink w:anchor="_Toc114650846" w:history="1">
            <w:r w:rsidRPr="005F598B">
              <w:rPr>
                <w:rStyle w:val="Hyperlink"/>
                <w:noProof/>
              </w:rPr>
              <w:t>FLOOD DAMAGE LOSS ESIMATES (1% FLOOD EVENT)</w:t>
            </w:r>
            <w:r>
              <w:rPr>
                <w:noProof/>
                <w:webHidden/>
              </w:rPr>
              <w:tab/>
            </w:r>
            <w:r>
              <w:rPr>
                <w:noProof/>
                <w:webHidden/>
              </w:rPr>
              <w:fldChar w:fldCharType="begin"/>
            </w:r>
            <w:r>
              <w:rPr>
                <w:noProof/>
                <w:webHidden/>
              </w:rPr>
              <w:instrText xml:space="preserve"> PAGEREF _Toc114650846 \h </w:instrText>
            </w:r>
            <w:r>
              <w:rPr>
                <w:noProof/>
                <w:webHidden/>
              </w:rPr>
            </w:r>
            <w:r>
              <w:rPr>
                <w:noProof/>
                <w:webHidden/>
              </w:rPr>
              <w:fldChar w:fldCharType="separate"/>
            </w:r>
            <w:r>
              <w:rPr>
                <w:noProof/>
                <w:webHidden/>
              </w:rPr>
              <w:t>11</w:t>
            </w:r>
            <w:r>
              <w:rPr>
                <w:noProof/>
                <w:webHidden/>
              </w:rPr>
              <w:fldChar w:fldCharType="end"/>
            </w:r>
          </w:hyperlink>
        </w:p>
        <w:p w14:paraId="13DD148E" w14:textId="3F7418F0" w:rsidR="0087303C" w:rsidRDefault="0087303C">
          <w:pPr>
            <w:pStyle w:val="TOC2"/>
            <w:tabs>
              <w:tab w:val="right" w:leader="dot" w:pos="9350"/>
            </w:tabs>
            <w:rPr>
              <w:rFonts w:eastAsiaTheme="minorEastAsia"/>
              <w:noProof/>
            </w:rPr>
          </w:pPr>
          <w:hyperlink w:anchor="_Toc114650847" w:history="1">
            <w:r w:rsidRPr="005F598B">
              <w:rPr>
                <w:rStyle w:val="Hyperlink"/>
                <w:noProof/>
              </w:rPr>
              <w:t>Building Damage Dollar and Percent Estimates</w:t>
            </w:r>
            <w:r>
              <w:rPr>
                <w:noProof/>
                <w:webHidden/>
              </w:rPr>
              <w:tab/>
            </w:r>
            <w:r>
              <w:rPr>
                <w:noProof/>
                <w:webHidden/>
              </w:rPr>
              <w:fldChar w:fldCharType="begin"/>
            </w:r>
            <w:r>
              <w:rPr>
                <w:noProof/>
                <w:webHidden/>
              </w:rPr>
              <w:instrText xml:space="preserve"> PAGEREF _Toc114650847 \h </w:instrText>
            </w:r>
            <w:r>
              <w:rPr>
                <w:noProof/>
                <w:webHidden/>
              </w:rPr>
            </w:r>
            <w:r>
              <w:rPr>
                <w:noProof/>
                <w:webHidden/>
              </w:rPr>
              <w:fldChar w:fldCharType="separate"/>
            </w:r>
            <w:r>
              <w:rPr>
                <w:noProof/>
                <w:webHidden/>
              </w:rPr>
              <w:t>11</w:t>
            </w:r>
            <w:r>
              <w:rPr>
                <w:noProof/>
                <w:webHidden/>
              </w:rPr>
              <w:fldChar w:fldCharType="end"/>
            </w:r>
          </w:hyperlink>
        </w:p>
        <w:p w14:paraId="236A577E" w14:textId="1AB0AC2B" w:rsidR="0087303C" w:rsidRDefault="0087303C">
          <w:pPr>
            <w:pStyle w:val="TOC3"/>
            <w:tabs>
              <w:tab w:val="right" w:leader="dot" w:pos="9350"/>
            </w:tabs>
            <w:rPr>
              <w:rFonts w:eastAsiaTheme="minorEastAsia"/>
              <w:noProof/>
            </w:rPr>
          </w:pPr>
          <w:hyperlink w:anchor="_Toc114650848" w:history="1">
            <w:r w:rsidRPr="005F598B">
              <w:rPr>
                <w:rStyle w:val="Hyperlink"/>
                <w:noProof/>
              </w:rPr>
              <w:t>TEIF Building Dollar Loss Estimates</w:t>
            </w:r>
            <w:r>
              <w:rPr>
                <w:noProof/>
                <w:webHidden/>
              </w:rPr>
              <w:tab/>
            </w:r>
            <w:r>
              <w:rPr>
                <w:noProof/>
                <w:webHidden/>
              </w:rPr>
              <w:fldChar w:fldCharType="begin"/>
            </w:r>
            <w:r>
              <w:rPr>
                <w:noProof/>
                <w:webHidden/>
              </w:rPr>
              <w:instrText xml:space="preserve"> PAGEREF _Toc114650848 \h </w:instrText>
            </w:r>
            <w:r>
              <w:rPr>
                <w:noProof/>
                <w:webHidden/>
              </w:rPr>
            </w:r>
            <w:r>
              <w:rPr>
                <w:noProof/>
                <w:webHidden/>
              </w:rPr>
              <w:fldChar w:fldCharType="separate"/>
            </w:r>
            <w:r>
              <w:rPr>
                <w:noProof/>
                <w:webHidden/>
              </w:rPr>
              <w:t>11</w:t>
            </w:r>
            <w:r>
              <w:rPr>
                <w:noProof/>
                <w:webHidden/>
              </w:rPr>
              <w:fldChar w:fldCharType="end"/>
            </w:r>
          </w:hyperlink>
        </w:p>
        <w:p w14:paraId="41AB3053" w14:textId="356375FC" w:rsidR="0087303C" w:rsidRDefault="0087303C">
          <w:pPr>
            <w:pStyle w:val="TOC3"/>
            <w:tabs>
              <w:tab w:val="right" w:leader="dot" w:pos="9350"/>
            </w:tabs>
            <w:rPr>
              <w:rFonts w:eastAsiaTheme="minorEastAsia"/>
              <w:noProof/>
            </w:rPr>
          </w:pPr>
          <w:hyperlink w:anchor="_Toc114650849" w:history="1">
            <w:r w:rsidRPr="005F598B">
              <w:rPr>
                <w:rStyle w:val="Hyperlink"/>
                <w:noProof/>
              </w:rPr>
              <w:t>TEIF Building Percent Loss Estimates</w:t>
            </w:r>
            <w:r>
              <w:rPr>
                <w:noProof/>
                <w:webHidden/>
              </w:rPr>
              <w:tab/>
            </w:r>
            <w:r>
              <w:rPr>
                <w:noProof/>
                <w:webHidden/>
              </w:rPr>
              <w:fldChar w:fldCharType="begin"/>
            </w:r>
            <w:r>
              <w:rPr>
                <w:noProof/>
                <w:webHidden/>
              </w:rPr>
              <w:instrText xml:space="preserve"> PAGEREF _Toc114650849 \h </w:instrText>
            </w:r>
            <w:r>
              <w:rPr>
                <w:noProof/>
                <w:webHidden/>
              </w:rPr>
            </w:r>
            <w:r>
              <w:rPr>
                <w:noProof/>
                <w:webHidden/>
              </w:rPr>
              <w:fldChar w:fldCharType="separate"/>
            </w:r>
            <w:r>
              <w:rPr>
                <w:noProof/>
                <w:webHidden/>
              </w:rPr>
              <w:t>12</w:t>
            </w:r>
            <w:r>
              <w:rPr>
                <w:noProof/>
                <w:webHidden/>
              </w:rPr>
              <w:fldChar w:fldCharType="end"/>
            </w:r>
          </w:hyperlink>
        </w:p>
        <w:p w14:paraId="5F69B8CA" w14:textId="7649FDBF" w:rsidR="0087303C" w:rsidRDefault="0087303C">
          <w:pPr>
            <w:pStyle w:val="TOC2"/>
            <w:tabs>
              <w:tab w:val="right" w:leader="dot" w:pos="9350"/>
            </w:tabs>
            <w:rPr>
              <w:rFonts w:eastAsiaTheme="minorEastAsia"/>
              <w:noProof/>
            </w:rPr>
          </w:pPr>
          <w:hyperlink w:anchor="_Toc114650850" w:history="1">
            <w:r w:rsidRPr="005F598B">
              <w:rPr>
                <w:rStyle w:val="Hyperlink"/>
                <w:noProof/>
              </w:rPr>
              <w:t>Substantial Damage Estimates</w:t>
            </w:r>
            <w:r>
              <w:rPr>
                <w:noProof/>
                <w:webHidden/>
              </w:rPr>
              <w:tab/>
            </w:r>
            <w:r>
              <w:rPr>
                <w:noProof/>
                <w:webHidden/>
              </w:rPr>
              <w:fldChar w:fldCharType="begin"/>
            </w:r>
            <w:r>
              <w:rPr>
                <w:noProof/>
                <w:webHidden/>
              </w:rPr>
              <w:instrText xml:space="preserve"> PAGEREF _Toc114650850 \h </w:instrText>
            </w:r>
            <w:r>
              <w:rPr>
                <w:noProof/>
                <w:webHidden/>
              </w:rPr>
            </w:r>
            <w:r>
              <w:rPr>
                <w:noProof/>
                <w:webHidden/>
              </w:rPr>
              <w:fldChar w:fldCharType="separate"/>
            </w:r>
            <w:r>
              <w:rPr>
                <w:noProof/>
                <w:webHidden/>
              </w:rPr>
              <w:t>12</w:t>
            </w:r>
            <w:r>
              <w:rPr>
                <w:noProof/>
                <w:webHidden/>
              </w:rPr>
              <w:fldChar w:fldCharType="end"/>
            </w:r>
          </w:hyperlink>
        </w:p>
        <w:p w14:paraId="75E31903" w14:textId="2C6C7611" w:rsidR="0087303C" w:rsidRDefault="0087303C">
          <w:pPr>
            <w:pStyle w:val="TOC2"/>
            <w:tabs>
              <w:tab w:val="right" w:leader="dot" w:pos="9350"/>
            </w:tabs>
            <w:rPr>
              <w:rFonts w:eastAsiaTheme="minorEastAsia"/>
              <w:noProof/>
            </w:rPr>
          </w:pPr>
          <w:hyperlink w:anchor="_Toc114650851" w:history="1">
            <w:r w:rsidRPr="005F598B">
              <w:rPr>
                <w:rStyle w:val="Hyperlink"/>
                <w:noProof/>
              </w:rPr>
              <w:t>Building Debris Removal Estimates</w:t>
            </w:r>
            <w:r>
              <w:rPr>
                <w:noProof/>
                <w:webHidden/>
              </w:rPr>
              <w:tab/>
            </w:r>
            <w:r>
              <w:rPr>
                <w:noProof/>
                <w:webHidden/>
              </w:rPr>
              <w:fldChar w:fldCharType="begin"/>
            </w:r>
            <w:r>
              <w:rPr>
                <w:noProof/>
                <w:webHidden/>
              </w:rPr>
              <w:instrText xml:space="preserve"> PAGEREF _Toc114650851 \h </w:instrText>
            </w:r>
            <w:r>
              <w:rPr>
                <w:noProof/>
                <w:webHidden/>
              </w:rPr>
            </w:r>
            <w:r>
              <w:rPr>
                <w:noProof/>
                <w:webHidden/>
              </w:rPr>
              <w:fldChar w:fldCharType="separate"/>
            </w:r>
            <w:r>
              <w:rPr>
                <w:noProof/>
                <w:webHidden/>
              </w:rPr>
              <w:t>13</w:t>
            </w:r>
            <w:r>
              <w:rPr>
                <w:noProof/>
                <w:webHidden/>
              </w:rPr>
              <w:fldChar w:fldCharType="end"/>
            </w:r>
          </w:hyperlink>
        </w:p>
        <w:p w14:paraId="24437D0E" w14:textId="2043A1D6" w:rsidR="0087303C" w:rsidRDefault="0087303C">
          <w:pPr>
            <w:pStyle w:val="TOC2"/>
            <w:tabs>
              <w:tab w:val="right" w:leader="dot" w:pos="9350"/>
            </w:tabs>
            <w:rPr>
              <w:rFonts w:eastAsiaTheme="minorEastAsia"/>
              <w:noProof/>
            </w:rPr>
          </w:pPr>
          <w:hyperlink w:anchor="_Toc114650852" w:history="1">
            <w:r w:rsidRPr="005F598B">
              <w:rPr>
                <w:rStyle w:val="Hyperlink"/>
                <w:noProof/>
              </w:rPr>
              <w:t>Population Displacement and Short-Term Shelter Estimates</w:t>
            </w:r>
            <w:r>
              <w:rPr>
                <w:noProof/>
                <w:webHidden/>
              </w:rPr>
              <w:tab/>
            </w:r>
            <w:r>
              <w:rPr>
                <w:noProof/>
                <w:webHidden/>
              </w:rPr>
              <w:fldChar w:fldCharType="begin"/>
            </w:r>
            <w:r>
              <w:rPr>
                <w:noProof/>
                <w:webHidden/>
              </w:rPr>
              <w:instrText xml:space="preserve"> PAGEREF _Toc114650852 \h </w:instrText>
            </w:r>
            <w:r>
              <w:rPr>
                <w:noProof/>
                <w:webHidden/>
              </w:rPr>
            </w:r>
            <w:r>
              <w:rPr>
                <w:noProof/>
                <w:webHidden/>
              </w:rPr>
              <w:fldChar w:fldCharType="separate"/>
            </w:r>
            <w:r>
              <w:rPr>
                <w:noProof/>
                <w:webHidden/>
              </w:rPr>
              <w:t>13</w:t>
            </w:r>
            <w:r>
              <w:rPr>
                <w:noProof/>
                <w:webHidden/>
              </w:rPr>
              <w:fldChar w:fldCharType="end"/>
            </w:r>
          </w:hyperlink>
        </w:p>
        <w:p w14:paraId="4C214A64" w14:textId="1F1DE53E" w:rsidR="0087303C" w:rsidRDefault="0087303C">
          <w:pPr>
            <w:pStyle w:val="TOC3"/>
            <w:tabs>
              <w:tab w:val="right" w:leader="dot" w:pos="9350"/>
            </w:tabs>
            <w:rPr>
              <w:rFonts w:eastAsiaTheme="minorEastAsia"/>
              <w:noProof/>
            </w:rPr>
          </w:pPr>
          <w:hyperlink w:anchor="_Toc114650853" w:history="1">
            <w:r w:rsidRPr="005F598B">
              <w:rPr>
                <w:rStyle w:val="Hyperlink"/>
                <w:noProof/>
              </w:rPr>
              <w:t>Population Residing in High-Risk Flood Zones</w:t>
            </w:r>
            <w:r>
              <w:rPr>
                <w:noProof/>
                <w:webHidden/>
              </w:rPr>
              <w:tab/>
            </w:r>
            <w:r>
              <w:rPr>
                <w:noProof/>
                <w:webHidden/>
              </w:rPr>
              <w:fldChar w:fldCharType="begin"/>
            </w:r>
            <w:r>
              <w:rPr>
                <w:noProof/>
                <w:webHidden/>
              </w:rPr>
              <w:instrText xml:space="preserve"> PAGEREF _Toc114650853 \h </w:instrText>
            </w:r>
            <w:r>
              <w:rPr>
                <w:noProof/>
                <w:webHidden/>
              </w:rPr>
            </w:r>
            <w:r>
              <w:rPr>
                <w:noProof/>
                <w:webHidden/>
              </w:rPr>
              <w:fldChar w:fldCharType="separate"/>
            </w:r>
            <w:r>
              <w:rPr>
                <w:noProof/>
                <w:webHidden/>
              </w:rPr>
              <w:t>14</w:t>
            </w:r>
            <w:r>
              <w:rPr>
                <w:noProof/>
                <w:webHidden/>
              </w:rPr>
              <w:fldChar w:fldCharType="end"/>
            </w:r>
          </w:hyperlink>
        </w:p>
        <w:p w14:paraId="342FC308" w14:textId="6077E28B" w:rsidR="0087303C" w:rsidRDefault="0087303C">
          <w:pPr>
            <w:pStyle w:val="TOC3"/>
            <w:tabs>
              <w:tab w:val="right" w:leader="dot" w:pos="9350"/>
            </w:tabs>
            <w:rPr>
              <w:rFonts w:eastAsiaTheme="minorEastAsia"/>
              <w:noProof/>
            </w:rPr>
          </w:pPr>
          <w:hyperlink w:anchor="_Toc114650854" w:history="1">
            <w:r w:rsidRPr="005F598B">
              <w:rPr>
                <w:rStyle w:val="Hyperlink"/>
                <w:noProof/>
              </w:rPr>
              <w:t>Displaced Population for Flood Depth &gt;= 1 Foot</w:t>
            </w:r>
            <w:r>
              <w:rPr>
                <w:noProof/>
                <w:webHidden/>
              </w:rPr>
              <w:tab/>
            </w:r>
            <w:r>
              <w:rPr>
                <w:noProof/>
                <w:webHidden/>
              </w:rPr>
              <w:fldChar w:fldCharType="begin"/>
            </w:r>
            <w:r>
              <w:rPr>
                <w:noProof/>
                <w:webHidden/>
              </w:rPr>
              <w:instrText xml:space="preserve"> PAGEREF _Toc114650854 \h </w:instrText>
            </w:r>
            <w:r>
              <w:rPr>
                <w:noProof/>
                <w:webHidden/>
              </w:rPr>
            </w:r>
            <w:r>
              <w:rPr>
                <w:noProof/>
                <w:webHidden/>
              </w:rPr>
              <w:fldChar w:fldCharType="separate"/>
            </w:r>
            <w:r>
              <w:rPr>
                <w:noProof/>
                <w:webHidden/>
              </w:rPr>
              <w:t>14</w:t>
            </w:r>
            <w:r>
              <w:rPr>
                <w:noProof/>
                <w:webHidden/>
              </w:rPr>
              <w:fldChar w:fldCharType="end"/>
            </w:r>
          </w:hyperlink>
        </w:p>
        <w:p w14:paraId="2759E88B" w14:textId="0C2519D6" w:rsidR="0087303C" w:rsidRDefault="0087303C">
          <w:pPr>
            <w:pStyle w:val="TOC3"/>
            <w:tabs>
              <w:tab w:val="right" w:leader="dot" w:pos="9350"/>
            </w:tabs>
            <w:rPr>
              <w:rFonts w:eastAsiaTheme="minorEastAsia"/>
              <w:noProof/>
            </w:rPr>
          </w:pPr>
          <w:hyperlink w:anchor="_Toc114650855" w:history="1">
            <w:r w:rsidRPr="005F598B">
              <w:rPr>
                <w:rStyle w:val="Hyperlink"/>
                <w:noProof/>
              </w:rPr>
              <w:t>Estimated Population in Need of Short-Term Shelter</w:t>
            </w:r>
            <w:r>
              <w:rPr>
                <w:noProof/>
                <w:webHidden/>
              </w:rPr>
              <w:tab/>
            </w:r>
            <w:r>
              <w:rPr>
                <w:noProof/>
                <w:webHidden/>
              </w:rPr>
              <w:fldChar w:fldCharType="begin"/>
            </w:r>
            <w:r>
              <w:rPr>
                <w:noProof/>
                <w:webHidden/>
              </w:rPr>
              <w:instrText xml:space="preserve"> PAGEREF _Toc114650855 \h </w:instrText>
            </w:r>
            <w:r>
              <w:rPr>
                <w:noProof/>
                <w:webHidden/>
              </w:rPr>
            </w:r>
            <w:r>
              <w:rPr>
                <w:noProof/>
                <w:webHidden/>
              </w:rPr>
              <w:fldChar w:fldCharType="separate"/>
            </w:r>
            <w:r>
              <w:rPr>
                <w:noProof/>
                <w:webHidden/>
              </w:rPr>
              <w:t>15</w:t>
            </w:r>
            <w:r>
              <w:rPr>
                <w:noProof/>
                <w:webHidden/>
              </w:rPr>
              <w:fldChar w:fldCharType="end"/>
            </w:r>
          </w:hyperlink>
        </w:p>
        <w:p w14:paraId="3F3ADFC8" w14:textId="177B651B" w:rsidR="0087303C" w:rsidRDefault="0087303C">
          <w:pPr>
            <w:pStyle w:val="TOC2"/>
            <w:tabs>
              <w:tab w:val="right" w:leader="dot" w:pos="9350"/>
            </w:tabs>
            <w:rPr>
              <w:rFonts w:eastAsiaTheme="minorEastAsia"/>
              <w:noProof/>
            </w:rPr>
          </w:pPr>
          <w:hyperlink w:anchor="_Toc114650856" w:history="1">
            <w:r w:rsidRPr="005F598B">
              <w:rPr>
                <w:rStyle w:val="Hyperlink"/>
                <w:noProof/>
              </w:rPr>
              <w:t>Transportation Inundation Models</w:t>
            </w:r>
            <w:r>
              <w:rPr>
                <w:noProof/>
                <w:webHidden/>
              </w:rPr>
              <w:tab/>
            </w:r>
            <w:r>
              <w:rPr>
                <w:noProof/>
                <w:webHidden/>
              </w:rPr>
              <w:fldChar w:fldCharType="begin"/>
            </w:r>
            <w:r>
              <w:rPr>
                <w:noProof/>
                <w:webHidden/>
              </w:rPr>
              <w:instrText xml:space="preserve"> PAGEREF _Toc114650856 \h </w:instrText>
            </w:r>
            <w:r>
              <w:rPr>
                <w:noProof/>
                <w:webHidden/>
              </w:rPr>
            </w:r>
            <w:r>
              <w:rPr>
                <w:noProof/>
                <w:webHidden/>
              </w:rPr>
              <w:fldChar w:fldCharType="separate"/>
            </w:r>
            <w:r>
              <w:rPr>
                <w:noProof/>
                <w:webHidden/>
              </w:rPr>
              <w:t>15</w:t>
            </w:r>
            <w:r>
              <w:rPr>
                <w:noProof/>
                <w:webHidden/>
              </w:rPr>
              <w:fldChar w:fldCharType="end"/>
            </w:r>
          </w:hyperlink>
        </w:p>
        <w:p w14:paraId="50A7D9D7" w14:textId="263E678B" w:rsidR="0087303C" w:rsidRDefault="0087303C">
          <w:pPr>
            <w:pStyle w:val="TOC3"/>
            <w:tabs>
              <w:tab w:val="right" w:leader="dot" w:pos="9350"/>
            </w:tabs>
            <w:rPr>
              <w:rFonts w:eastAsiaTheme="minorEastAsia"/>
              <w:noProof/>
            </w:rPr>
          </w:pPr>
          <w:hyperlink w:anchor="_Toc114650857" w:history="1">
            <w:r w:rsidRPr="005F598B">
              <w:rPr>
                <w:rStyle w:val="Hyperlink"/>
                <w:noProof/>
              </w:rPr>
              <w:t>Road Miles Inundated</w:t>
            </w:r>
            <w:r>
              <w:rPr>
                <w:noProof/>
                <w:webHidden/>
              </w:rPr>
              <w:tab/>
            </w:r>
            <w:r>
              <w:rPr>
                <w:noProof/>
                <w:webHidden/>
              </w:rPr>
              <w:fldChar w:fldCharType="begin"/>
            </w:r>
            <w:r>
              <w:rPr>
                <w:noProof/>
                <w:webHidden/>
              </w:rPr>
              <w:instrText xml:space="preserve"> PAGEREF _Toc114650857 \h </w:instrText>
            </w:r>
            <w:r>
              <w:rPr>
                <w:noProof/>
                <w:webHidden/>
              </w:rPr>
            </w:r>
            <w:r>
              <w:rPr>
                <w:noProof/>
                <w:webHidden/>
              </w:rPr>
              <w:fldChar w:fldCharType="separate"/>
            </w:r>
            <w:r>
              <w:rPr>
                <w:noProof/>
                <w:webHidden/>
              </w:rPr>
              <w:t>15</w:t>
            </w:r>
            <w:r>
              <w:rPr>
                <w:noProof/>
                <w:webHidden/>
              </w:rPr>
              <w:fldChar w:fldCharType="end"/>
            </w:r>
          </w:hyperlink>
        </w:p>
        <w:p w14:paraId="525CF34F" w14:textId="24B01D08" w:rsidR="0087303C" w:rsidRDefault="0087303C">
          <w:pPr>
            <w:pStyle w:val="TOC3"/>
            <w:tabs>
              <w:tab w:val="right" w:leader="dot" w:pos="9350"/>
            </w:tabs>
            <w:rPr>
              <w:rFonts w:eastAsiaTheme="minorEastAsia"/>
              <w:noProof/>
            </w:rPr>
          </w:pPr>
          <w:hyperlink w:anchor="_Toc114650858" w:history="1">
            <w:r w:rsidRPr="005F598B">
              <w:rPr>
                <w:rStyle w:val="Hyperlink"/>
                <w:noProof/>
              </w:rPr>
              <w:t>Railroad Miles Inundated</w:t>
            </w:r>
            <w:r>
              <w:rPr>
                <w:noProof/>
                <w:webHidden/>
              </w:rPr>
              <w:tab/>
            </w:r>
            <w:r>
              <w:rPr>
                <w:noProof/>
                <w:webHidden/>
              </w:rPr>
              <w:fldChar w:fldCharType="begin"/>
            </w:r>
            <w:r>
              <w:rPr>
                <w:noProof/>
                <w:webHidden/>
              </w:rPr>
              <w:instrText xml:space="preserve"> PAGEREF _Toc114650858 \h </w:instrText>
            </w:r>
            <w:r>
              <w:rPr>
                <w:noProof/>
                <w:webHidden/>
              </w:rPr>
            </w:r>
            <w:r>
              <w:rPr>
                <w:noProof/>
                <w:webHidden/>
              </w:rPr>
              <w:fldChar w:fldCharType="separate"/>
            </w:r>
            <w:r>
              <w:rPr>
                <w:noProof/>
                <w:webHidden/>
              </w:rPr>
              <w:t>15</w:t>
            </w:r>
            <w:r>
              <w:rPr>
                <w:noProof/>
                <w:webHidden/>
              </w:rPr>
              <w:fldChar w:fldCharType="end"/>
            </w:r>
          </w:hyperlink>
        </w:p>
        <w:p w14:paraId="52EEEE3F" w14:textId="03DBC12A" w:rsidR="0087303C" w:rsidRDefault="0087303C">
          <w:pPr>
            <w:pStyle w:val="TOC2"/>
            <w:tabs>
              <w:tab w:val="right" w:leader="dot" w:pos="9350"/>
            </w:tabs>
            <w:rPr>
              <w:rFonts w:eastAsiaTheme="minorEastAsia"/>
              <w:noProof/>
            </w:rPr>
          </w:pPr>
          <w:hyperlink w:anchor="_Toc114650859" w:history="1">
            <w:r w:rsidRPr="005F598B">
              <w:rPr>
                <w:rStyle w:val="Hyperlink"/>
                <w:noProof/>
              </w:rPr>
              <w:t>Minus-Rated Structures of Post-FIRM Construction</w:t>
            </w:r>
            <w:r>
              <w:rPr>
                <w:noProof/>
                <w:webHidden/>
              </w:rPr>
              <w:tab/>
            </w:r>
            <w:r>
              <w:rPr>
                <w:noProof/>
                <w:webHidden/>
              </w:rPr>
              <w:fldChar w:fldCharType="begin"/>
            </w:r>
            <w:r>
              <w:rPr>
                <w:noProof/>
                <w:webHidden/>
              </w:rPr>
              <w:instrText xml:space="preserve"> PAGEREF _Toc114650859 \h </w:instrText>
            </w:r>
            <w:r>
              <w:rPr>
                <w:noProof/>
                <w:webHidden/>
              </w:rPr>
            </w:r>
            <w:r>
              <w:rPr>
                <w:noProof/>
                <w:webHidden/>
              </w:rPr>
              <w:fldChar w:fldCharType="separate"/>
            </w:r>
            <w:r>
              <w:rPr>
                <w:noProof/>
                <w:webHidden/>
              </w:rPr>
              <w:t>15</w:t>
            </w:r>
            <w:r>
              <w:rPr>
                <w:noProof/>
                <w:webHidden/>
              </w:rPr>
              <w:fldChar w:fldCharType="end"/>
            </w:r>
          </w:hyperlink>
        </w:p>
        <w:p w14:paraId="3336CAD8" w14:textId="3DD09BE9" w:rsidR="0087303C" w:rsidRDefault="0087303C">
          <w:pPr>
            <w:pStyle w:val="TOC2"/>
            <w:tabs>
              <w:tab w:val="right" w:leader="dot" w:pos="9350"/>
            </w:tabs>
            <w:rPr>
              <w:rFonts w:eastAsiaTheme="minorEastAsia"/>
              <w:noProof/>
            </w:rPr>
          </w:pPr>
          <w:hyperlink w:anchor="_Toc114650860" w:history="1">
            <w:r w:rsidRPr="005F598B">
              <w:rPr>
                <w:rStyle w:val="Hyperlink"/>
                <w:noProof/>
              </w:rPr>
              <w:t>Flood Loss Model Limitations</w:t>
            </w:r>
            <w:r>
              <w:rPr>
                <w:noProof/>
                <w:webHidden/>
              </w:rPr>
              <w:tab/>
            </w:r>
            <w:r>
              <w:rPr>
                <w:noProof/>
                <w:webHidden/>
              </w:rPr>
              <w:fldChar w:fldCharType="begin"/>
            </w:r>
            <w:r>
              <w:rPr>
                <w:noProof/>
                <w:webHidden/>
              </w:rPr>
              <w:instrText xml:space="preserve"> PAGEREF _Toc114650860 \h </w:instrText>
            </w:r>
            <w:r>
              <w:rPr>
                <w:noProof/>
                <w:webHidden/>
              </w:rPr>
            </w:r>
            <w:r>
              <w:rPr>
                <w:noProof/>
                <w:webHidden/>
              </w:rPr>
              <w:fldChar w:fldCharType="separate"/>
            </w:r>
            <w:r>
              <w:rPr>
                <w:noProof/>
                <w:webHidden/>
              </w:rPr>
              <w:t>16</w:t>
            </w:r>
            <w:r>
              <w:rPr>
                <w:noProof/>
                <w:webHidden/>
              </w:rPr>
              <w:fldChar w:fldCharType="end"/>
            </w:r>
          </w:hyperlink>
        </w:p>
        <w:p w14:paraId="58107FC8" w14:textId="1E03484B" w:rsidR="0087303C" w:rsidRDefault="0087303C">
          <w:pPr>
            <w:pStyle w:val="TOC1"/>
            <w:tabs>
              <w:tab w:val="right" w:leader="dot" w:pos="9350"/>
            </w:tabs>
            <w:rPr>
              <w:rFonts w:eastAsiaTheme="minorEastAsia"/>
              <w:noProof/>
            </w:rPr>
          </w:pPr>
          <w:hyperlink w:anchor="_Toc114650861" w:history="1">
            <w:r w:rsidRPr="005F598B">
              <w:rPr>
                <w:rStyle w:val="Hyperlink"/>
                <w:noProof/>
              </w:rPr>
              <w:t>MITIGATION</w:t>
            </w:r>
            <w:r>
              <w:rPr>
                <w:noProof/>
                <w:webHidden/>
              </w:rPr>
              <w:tab/>
            </w:r>
            <w:r>
              <w:rPr>
                <w:noProof/>
                <w:webHidden/>
              </w:rPr>
              <w:fldChar w:fldCharType="begin"/>
            </w:r>
            <w:r>
              <w:rPr>
                <w:noProof/>
                <w:webHidden/>
              </w:rPr>
              <w:instrText xml:space="preserve"> PAGEREF _Toc114650861 \h </w:instrText>
            </w:r>
            <w:r>
              <w:rPr>
                <w:noProof/>
                <w:webHidden/>
              </w:rPr>
            </w:r>
            <w:r>
              <w:rPr>
                <w:noProof/>
                <w:webHidden/>
              </w:rPr>
              <w:fldChar w:fldCharType="separate"/>
            </w:r>
            <w:r>
              <w:rPr>
                <w:noProof/>
                <w:webHidden/>
              </w:rPr>
              <w:t>17</w:t>
            </w:r>
            <w:r>
              <w:rPr>
                <w:noProof/>
                <w:webHidden/>
              </w:rPr>
              <w:fldChar w:fldCharType="end"/>
            </w:r>
          </w:hyperlink>
        </w:p>
        <w:p w14:paraId="0C030828" w14:textId="29C6485A" w:rsidR="0087303C" w:rsidRDefault="0087303C">
          <w:pPr>
            <w:pStyle w:val="TOC2"/>
            <w:tabs>
              <w:tab w:val="right" w:leader="dot" w:pos="9350"/>
            </w:tabs>
            <w:rPr>
              <w:rFonts w:eastAsiaTheme="minorEastAsia"/>
              <w:noProof/>
            </w:rPr>
          </w:pPr>
          <w:hyperlink w:anchor="_Toc114650862" w:history="1">
            <w:r w:rsidRPr="005F598B">
              <w:rPr>
                <w:rStyle w:val="Hyperlink"/>
                <w:noProof/>
              </w:rPr>
              <w:t>Mitigated Structures</w:t>
            </w:r>
            <w:r>
              <w:rPr>
                <w:noProof/>
                <w:webHidden/>
              </w:rPr>
              <w:tab/>
            </w:r>
            <w:r>
              <w:rPr>
                <w:noProof/>
                <w:webHidden/>
              </w:rPr>
              <w:fldChar w:fldCharType="begin"/>
            </w:r>
            <w:r>
              <w:rPr>
                <w:noProof/>
                <w:webHidden/>
              </w:rPr>
              <w:instrText xml:space="preserve"> PAGEREF _Toc114650862 \h </w:instrText>
            </w:r>
            <w:r>
              <w:rPr>
                <w:noProof/>
                <w:webHidden/>
              </w:rPr>
            </w:r>
            <w:r>
              <w:rPr>
                <w:noProof/>
                <w:webHidden/>
              </w:rPr>
              <w:fldChar w:fldCharType="separate"/>
            </w:r>
            <w:r>
              <w:rPr>
                <w:noProof/>
                <w:webHidden/>
              </w:rPr>
              <w:t>17</w:t>
            </w:r>
            <w:r>
              <w:rPr>
                <w:noProof/>
                <w:webHidden/>
              </w:rPr>
              <w:fldChar w:fldCharType="end"/>
            </w:r>
          </w:hyperlink>
        </w:p>
        <w:p w14:paraId="6B5C9A9B" w14:textId="27763BF0" w:rsidR="0087303C" w:rsidRDefault="0087303C">
          <w:pPr>
            <w:pStyle w:val="TOC2"/>
            <w:tabs>
              <w:tab w:val="right" w:leader="dot" w:pos="9350"/>
            </w:tabs>
            <w:rPr>
              <w:rFonts w:eastAsiaTheme="minorEastAsia"/>
              <w:noProof/>
            </w:rPr>
          </w:pPr>
          <w:hyperlink w:anchor="_Toc114650863" w:history="1">
            <w:r w:rsidRPr="005F598B">
              <w:rPr>
                <w:rStyle w:val="Hyperlink"/>
                <w:noProof/>
              </w:rPr>
              <w:t>Buyout Properties</w:t>
            </w:r>
            <w:r>
              <w:rPr>
                <w:noProof/>
                <w:webHidden/>
              </w:rPr>
              <w:tab/>
            </w:r>
            <w:r>
              <w:rPr>
                <w:noProof/>
                <w:webHidden/>
              </w:rPr>
              <w:fldChar w:fldCharType="begin"/>
            </w:r>
            <w:r>
              <w:rPr>
                <w:noProof/>
                <w:webHidden/>
              </w:rPr>
              <w:instrText xml:space="preserve"> PAGEREF _Toc114650863 \h </w:instrText>
            </w:r>
            <w:r>
              <w:rPr>
                <w:noProof/>
                <w:webHidden/>
              </w:rPr>
            </w:r>
            <w:r>
              <w:rPr>
                <w:noProof/>
                <w:webHidden/>
              </w:rPr>
              <w:fldChar w:fldCharType="separate"/>
            </w:r>
            <w:r>
              <w:rPr>
                <w:noProof/>
                <w:webHidden/>
              </w:rPr>
              <w:t>18</w:t>
            </w:r>
            <w:r>
              <w:rPr>
                <w:noProof/>
                <w:webHidden/>
              </w:rPr>
              <w:fldChar w:fldCharType="end"/>
            </w:r>
          </w:hyperlink>
        </w:p>
        <w:p w14:paraId="5AA40F5D" w14:textId="71779E27" w:rsidR="0087303C" w:rsidRDefault="0087303C">
          <w:pPr>
            <w:pStyle w:val="TOC2"/>
            <w:tabs>
              <w:tab w:val="right" w:leader="dot" w:pos="9350"/>
            </w:tabs>
            <w:rPr>
              <w:rFonts w:eastAsiaTheme="minorEastAsia"/>
              <w:noProof/>
            </w:rPr>
          </w:pPr>
          <w:hyperlink w:anchor="_Toc114650864" w:history="1">
            <w:r w:rsidRPr="005F598B">
              <w:rPr>
                <w:rStyle w:val="Hyperlink"/>
                <w:noProof/>
              </w:rPr>
              <w:t>Repetitive Loss Structures</w:t>
            </w:r>
            <w:r>
              <w:rPr>
                <w:noProof/>
                <w:webHidden/>
              </w:rPr>
              <w:tab/>
            </w:r>
            <w:r>
              <w:rPr>
                <w:noProof/>
                <w:webHidden/>
              </w:rPr>
              <w:fldChar w:fldCharType="begin"/>
            </w:r>
            <w:r>
              <w:rPr>
                <w:noProof/>
                <w:webHidden/>
              </w:rPr>
              <w:instrText xml:space="preserve"> PAGEREF _Toc114650864 \h </w:instrText>
            </w:r>
            <w:r>
              <w:rPr>
                <w:noProof/>
                <w:webHidden/>
              </w:rPr>
            </w:r>
            <w:r>
              <w:rPr>
                <w:noProof/>
                <w:webHidden/>
              </w:rPr>
              <w:fldChar w:fldCharType="separate"/>
            </w:r>
            <w:r>
              <w:rPr>
                <w:noProof/>
                <w:webHidden/>
              </w:rPr>
              <w:t>18</w:t>
            </w:r>
            <w:r>
              <w:rPr>
                <w:noProof/>
                <w:webHidden/>
              </w:rPr>
              <w:fldChar w:fldCharType="end"/>
            </w:r>
          </w:hyperlink>
        </w:p>
        <w:p w14:paraId="62EE41B8" w14:textId="5EDC64DE" w:rsidR="0087303C" w:rsidRDefault="0087303C">
          <w:pPr>
            <w:pStyle w:val="TOC2"/>
            <w:tabs>
              <w:tab w:val="right" w:leader="dot" w:pos="9350"/>
            </w:tabs>
            <w:rPr>
              <w:rFonts w:eastAsiaTheme="minorEastAsia"/>
              <w:noProof/>
            </w:rPr>
          </w:pPr>
          <w:hyperlink w:anchor="_Toc114650865" w:history="1">
            <w:r w:rsidRPr="005F598B">
              <w:rPr>
                <w:rStyle w:val="Hyperlink"/>
                <w:noProof/>
              </w:rPr>
              <w:t>Open Space Preservation</w:t>
            </w:r>
            <w:r>
              <w:rPr>
                <w:noProof/>
                <w:webHidden/>
              </w:rPr>
              <w:tab/>
            </w:r>
            <w:r>
              <w:rPr>
                <w:noProof/>
                <w:webHidden/>
              </w:rPr>
              <w:fldChar w:fldCharType="begin"/>
            </w:r>
            <w:r>
              <w:rPr>
                <w:noProof/>
                <w:webHidden/>
              </w:rPr>
              <w:instrText xml:space="preserve"> PAGEREF _Toc114650865 \h </w:instrText>
            </w:r>
            <w:r>
              <w:rPr>
                <w:noProof/>
                <w:webHidden/>
              </w:rPr>
            </w:r>
            <w:r>
              <w:rPr>
                <w:noProof/>
                <w:webHidden/>
              </w:rPr>
              <w:fldChar w:fldCharType="separate"/>
            </w:r>
            <w:r>
              <w:rPr>
                <w:noProof/>
                <w:webHidden/>
              </w:rPr>
              <w:t>19</w:t>
            </w:r>
            <w:r>
              <w:rPr>
                <w:noProof/>
                <w:webHidden/>
              </w:rPr>
              <w:fldChar w:fldCharType="end"/>
            </w:r>
          </w:hyperlink>
        </w:p>
        <w:p w14:paraId="695C0F00" w14:textId="3E87FDCE" w:rsidR="0087303C" w:rsidRDefault="0087303C">
          <w:pPr>
            <w:pStyle w:val="TOC2"/>
            <w:tabs>
              <w:tab w:val="right" w:leader="dot" w:pos="9350"/>
            </w:tabs>
            <w:rPr>
              <w:rFonts w:eastAsiaTheme="minorEastAsia"/>
              <w:noProof/>
            </w:rPr>
          </w:pPr>
          <w:hyperlink w:anchor="_Toc114650866" w:history="1">
            <w:r w:rsidRPr="005F598B">
              <w:rPr>
                <w:rStyle w:val="Hyperlink"/>
                <w:noProof/>
              </w:rPr>
              <w:t>Areas of Mitigation Interest (AoMI)</w:t>
            </w:r>
            <w:r>
              <w:rPr>
                <w:noProof/>
                <w:webHidden/>
              </w:rPr>
              <w:tab/>
            </w:r>
            <w:r>
              <w:rPr>
                <w:noProof/>
                <w:webHidden/>
              </w:rPr>
              <w:fldChar w:fldCharType="begin"/>
            </w:r>
            <w:r>
              <w:rPr>
                <w:noProof/>
                <w:webHidden/>
              </w:rPr>
              <w:instrText xml:space="preserve"> PAGEREF _Toc114650866 \h </w:instrText>
            </w:r>
            <w:r>
              <w:rPr>
                <w:noProof/>
                <w:webHidden/>
              </w:rPr>
            </w:r>
            <w:r>
              <w:rPr>
                <w:noProof/>
                <w:webHidden/>
              </w:rPr>
              <w:fldChar w:fldCharType="separate"/>
            </w:r>
            <w:r>
              <w:rPr>
                <w:noProof/>
                <w:webHidden/>
              </w:rPr>
              <w:t>19</w:t>
            </w:r>
            <w:r>
              <w:rPr>
                <w:noProof/>
                <w:webHidden/>
              </w:rPr>
              <w:fldChar w:fldCharType="end"/>
            </w:r>
          </w:hyperlink>
        </w:p>
        <w:p w14:paraId="0BB86711" w14:textId="2530CD2D" w:rsidR="0087303C" w:rsidRDefault="0087303C">
          <w:pPr>
            <w:pStyle w:val="TOC1"/>
            <w:tabs>
              <w:tab w:val="right" w:leader="dot" w:pos="9350"/>
            </w:tabs>
            <w:rPr>
              <w:rFonts w:eastAsiaTheme="minorEastAsia"/>
              <w:noProof/>
            </w:rPr>
          </w:pPr>
          <w:hyperlink w:anchor="_Toc114650867" w:history="1">
            <w:r w:rsidRPr="005F598B">
              <w:rPr>
                <w:rStyle w:val="Hyperlink"/>
                <w:noProof/>
              </w:rPr>
              <w:t>OTHER HAZARDS</w:t>
            </w:r>
            <w:r>
              <w:rPr>
                <w:noProof/>
                <w:webHidden/>
              </w:rPr>
              <w:tab/>
            </w:r>
            <w:r>
              <w:rPr>
                <w:noProof/>
                <w:webHidden/>
              </w:rPr>
              <w:fldChar w:fldCharType="begin"/>
            </w:r>
            <w:r>
              <w:rPr>
                <w:noProof/>
                <w:webHidden/>
              </w:rPr>
              <w:instrText xml:space="preserve"> PAGEREF _Toc114650867 \h </w:instrText>
            </w:r>
            <w:r>
              <w:rPr>
                <w:noProof/>
                <w:webHidden/>
              </w:rPr>
            </w:r>
            <w:r>
              <w:rPr>
                <w:noProof/>
                <w:webHidden/>
              </w:rPr>
              <w:fldChar w:fldCharType="separate"/>
            </w:r>
            <w:r>
              <w:rPr>
                <w:noProof/>
                <w:webHidden/>
              </w:rPr>
              <w:t>20</w:t>
            </w:r>
            <w:r>
              <w:rPr>
                <w:noProof/>
                <w:webHidden/>
              </w:rPr>
              <w:fldChar w:fldCharType="end"/>
            </w:r>
          </w:hyperlink>
        </w:p>
        <w:p w14:paraId="3C56B884" w14:textId="2F1D5E6E" w:rsidR="0087303C" w:rsidRDefault="0087303C">
          <w:pPr>
            <w:pStyle w:val="TOC2"/>
            <w:tabs>
              <w:tab w:val="right" w:leader="dot" w:pos="9350"/>
            </w:tabs>
            <w:rPr>
              <w:rFonts w:eastAsiaTheme="minorEastAsia"/>
              <w:noProof/>
            </w:rPr>
          </w:pPr>
          <w:hyperlink w:anchor="_Toc114650868" w:history="1">
            <w:r w:rsidRPr="005F598B">
              <w:rPr>
                <w:rStyle w:val="Hyperlink"/>
                <w:noProof/>
              </w:rPr>
              <w:t>Dams</w:t>
            </w:r>
            <w:r>
              <w:rPr>
                <w:noProof/>
                <w:webHidden/>
              </w:rPr>
              <w:tab/>
            </w:r>
            <w:r>
              <w:rPr>
                <w:noProof/>
                <w:webHidden/>
              </w:rPr>
              <w:fldChar w:fldCharType="begin"/>
            </w:r>
            <w:r>
              <w:rPr>
                <w:noProof/>
                <w:webHidden/>
              </w:rPr>
              <w:instrText xml:space="preserve"> PAGEREF _Toc114650868 \h </w:instrText>
            </w:r>
            <w:r>
              <w:rPr>
                <w:noProof/>
                <w:webHidden/>
              </w:rPr>
            </w:r>
            <w:r>
              <w:rPr>
                <w:noProof/>
                <w:webHidden/>
              </w:rPr>
              <w:fldChar w:fldCharType="separate"/>
            </w:r>
            <w:r>
              <w:rPr>
                <w:noProof/>
                <w:webHidden/>
              </w:rPr>
              <w:t>20</w:t>
            </w:r>
            <w:r>
              <w:rPr>
                <w:noProof/>
                <w:webHidden/>
              </w:rPr>
              <w:fldChar w:fldCharType="end"/>
            </w:r>
          </w:hyperlink>
        </w:p>
        <w:p w14:paraId="65F1626A" w14:textId="1EE8497F" w:rsidR="0087303C" w:rsidRDefault="0087303C">
          <w:pPr>
            <w:pStyle w:val="TOC2"/>
            <w:tabs>
              <w:tab w:val="right" w:leader="dot" w:pos="9350"/>
            </w:tabs>
            <w:rPr>
              <w:rFonts w:eastAsiaTheme="minorEastAsia"/>
              <w:noProof/>
            </w:rPr>
          </w:pPr>
          <w:hyperlink w:anchor="_Toc114650869" w:history="1">
            <w:r w:rsidRPr="005F598B">
              <w:rPr>
                <w:rStyle w:val="Hyperlink"/>
                <w:noProof/>
              </w:rPr>
              <w:t>Landslides</w:t>
            </w:r>
            <w:r>
              <w:rPr>
                <w:noProof/>
                <w:webHidden/>
              </w:rPr>
              <w:tab/>
            </w:r>
            <w:r>
              <w:rPr>
                <w:noProof/>
                <w:webHidden/>
              </w:rPr>
              <w:fldChar w:fldCharType="begin"/>
            </w:r>
            <w:r>
              <w:rPr>
                <w:noProof/>
                <w:webHidden/>
              </w:rPr>
              <w:instrText xml:space="preserve"> PAGEREF _Toc114650869 \h </w:instrText>
            </w:r>
            <w:r>
              <w:rPr>
                <w:noProof/>
                <w:webHidden/>
              </w:rPr>
            </w:r>
            <w:r>
              <w:rPr>
                <w:noProof/>
                <w:webHidden/>
              </w:rPr>
              <w:fldChar w:fldCharType="separate"/>
            </w:r>
            <w:r>
              <w:rPr>
                <w:noProof/>
                <w:webHidden/>
              </w:rPr>
              <w:t>20</w:t>
            </w:r>
            <w:r>
              <w:rPr>
                <w:noProof/>
                <w:webHidden/>
              </w:rPr>
              <w:fldChar w:fldCharType="end"/>
            </w:r>
          </w:hyperlink>
        </w:p>
        <w:p w14:paraId="78595AC4" w14:textId="7265FD8B" w:rsidR="0087303C" w:rsidRDefault="0087303C">
          <w:pPr>
            <w:pStyle w:val="TOC3"/>
            <w:tabs>
              <w:tab w:val="right" w:leader="dot" w:pos="9350"/>
            </w:tabs>
            <w:rPr>
              <w:rFonts w:eastAsiaTheme="minorEastAsia"/>
              <w:noProof/>
            </w:rPr>
          </w:pPr>
          <w:hyperlink w:anchor="_Toc114650870" w:history="1">
            <w:r w:rsidRPr="005F598B">
              <w:rPr>
                <w:rStyle w:val="Hyperlink"/>
                <w:rFonts w:cstheme="minorHAnsi"/>
                <w:noProof/>
              </w:rPr>
              <w:t>Landslide Risk Information</w:t>
            </w:r>
            <w:r>
              <w:rPr>
                <w:noProof/>
                <w:webHidden/>
              </w:rPr>
              <w:tab/>
            </w:r>
            <w:r>
              <w:rPr>
                <w:noProof/>
                <w:webHidden/>
              </w:rPr>
              <w:fldChar w:fldCharType="begin"/>
            </w:r>
            <w:r>
              <w:rPr>
                <w:noProof/>
                <w:webHidden/>
              </w:rPr>
              <w:instrText xml:space="preserve"> PAGEREF _Toc114650870 \h </w:instrText>
            </w:r>
            <w:r>
              <w:rPr>
                <w:noProof/>
                <w:webHidden/>
              </w:rPr>
            </w:r>
            <w:r>
              <w:rPr>
                <w:noProof/>
                <w:webHidden/>
              </w:rPr>
              <w:fldChar w:fldCharType="separate"/>
            </w:r>
            <w:r>
              <w:rPr>
                <w:noProof/>
                <w:webHidden/>
              </w:rPr>
              <w:t>21</w:t>
            </w:r>
            <w:r>
              <w:rPr>
                <w:noProof/>
                <w:webHidden/>
              </w:rPr>
              <w:fldChar w:fldCharType="end"/>
            </w:r>
          </w:hyperlink>
        </w:p>
        <w:p w14:paraId="16FBFE60" w14:textId="49E26921" w:rsidR="0087303C" w:rsidRDefault="0087303C">
          <w:pPr>
            <w:pStyle w:val="TOC1"/>
            <w:tabs>
              <w:tab w:val="right" w:leader="dot" w:pos="9350"/>
            </w:tabs>
            <w:rPr>
              <w:rFonts w:eastAsiaTheme="minorEastAsia"/>
              <w:noProof/>
            </w:rPr>
          </w:pPr>
          <w:hyperlink w:anchor="_Toc114650871" w:history="1">
            <w:r w:rsidRPr="005F598B">
              <w:rPr>
                <w:rStyle w:val="Hyperlink"/>
                <w:noProof/>
              </w:rPr>
              <w:t>COMMUNITY ENGAGEMENT AND DATA VERIFICATION</w:t>
            </w:r>
            <w:r>
              <w:rPr>
                <w:noProof/>
                <w:webHidden/>
              </w:rPr>
              <w:tab/>
            </w:r>
            <w:r>
              <w:rPr>
                <w:noProof/>
                <w:webHidden/>
              </w:rPr>
              <w:fldChar w:fldCharType="begin"/>
            </w:r>
            <w:r>
              <w:rPr>
                <w:noProof/>
                <w:webHidden/>
              </w:rPr>
              <w:instrText xml:space="preserve"> PAGEREF _Toc114650871 \h </w:instrText>
            </w:r>
            <w:r>
              <w:rPr>
                <w:noProof/>
                <w:webHidden/>
              </w:rPr>
            </w:r>
            <w:r>
              <w:rPr>
                <w:noProof/>
                <w:webHidden/>
              </w:rPr>
              <w:fldChar w:fldCharType="separate"/>
            </w:r>
            <w:r>
              <w:rPr>
                <w:noProof/>
                <w:webHidden/>
              </w:rPr>
              <w:t>22</w:t>
            </w:r>
            <w:r>
              <w:rPr>
                <w:noProof/>
                <w:webHidden/>
              </w:rPr>
              <w:fldChar w:fldCharType="end"/>
            </w:r>
          </w:hyperlink>
        </w:p>
        <w:p w14:paraId="5C5A7560" w14:textId="009F5035" w:rsidR="0087303C" w:rsidRDefault="0087303C">
          <w:pPr>
            <w:pStyle w:val="TOC3"/>
            <w:tabs>
              <w:tab w:val="right" w:leader="dot" w:pos="9350"/>
            </w:tabs>
            <w:rPr>
              <w:rFonts w:eastAsiaTheme="minorEastAsia"/>
              <w:noProof/>
            </w:rPr>
          </w:pPr>
          <w:hyperlink w:anchor="_Toc114650872" w:history="1">
            <w:r w:rsidRPr="005F598B">
              <w:rPr>
                <w:rStyle w:val="Hyperlink"/>
                <w:rFonts w:cstheme="minorHAnsi"/>
                <w:noProof/>
              </w:rPr>
              <w:t>Risk Assessment Data Verification:</w:t>
            </w:r>
            <w:r>
              <w:rPr>
                <w:noProof/>
                <w:webHidden/>
              </w:rPr>
              <w:tab/>
            </w:r>
            <w:r>
              <w:rPr>
                <w:noProof/>
                <w:webHidden/>
              </w:rPr>
              <w:fldChar w:fldCharType="begin"/>
            </w:r>
            <w:r>
              <w:rPr>
                <w:noProof/>
                <w:webHidden/>
              </w:rPr>
              <w:instrText xml:space="preserve"> PAGEREF _Toc114650872 \h </w:instrText>
            </w:r>
            <w:r>
              <w:rPr>
                <w:noProof/>
                <w:webHidden/>
              </w:rPr>
            </w:r>
            <w:r>
              <w:rPr>
                <w:noProof/>
                <w:webHidden/>
              </w:rPr>
              <w:fldChar w:fldCharType="separate"/>
            </w:r>
            <w:r>
              <w:rPr>
                <w:noProof/>
                <w:webHidden/>
              </w:rPr>
              <w:t>22</w:t>
            </w:r>
            <w:r>
              <w:rPr>
                <w:noProof/>
                <w:webHidden/>
              </w:rPr>
              <w:fldChar w:fldCharType="end"/>
            </w:r>
          </w:hyperlink>
        </w:p>
        <w:p w14:paraId="1555CF2D" w14:textId="4E687F19" w:rsidR="0087303C" w:rsidRDefault="0087303C">
          <w:pPr>
            <w:pStyle w:val="TOC3"/>
            <w:tabs>
              <w:tab w:val="right" w:leader="dot" w:pos="9350"/>
            </w:tabs>
            <w:rPr>
              <w:rFonts w:eastAsiaTheme="minorEastAsia"/>
              <w:noProof/>
            </w:rPr>
          </w:pPr>
          <w:hyperlink w:anchor="_Toc114650873" w:history="1">
            <w:r w:rsidRPr="005F598B">
              <w:rPr>
                <w:rStyle w:val="Hyperlink"/>
                <w:rFonts w:cstheme="minorHAnsi"/>
                <w:noProof/>
              </w:rPr>
              <w:t>Risk Assessments</w:t>
            </w:r>
            <w:r>
              <w:rPr>
                <w:noProof/>
                <w:webHidden/>
              </w:rPr>
              <w:tab/>
            </w:r>
            <w:r>
              <w:rPr>
                <w:noProof/>
                <w:webHidden/>
              </w:rPr>
              <w:fldChar w:fldCharType="begin"/>
            </w:r>
            <w:r>
              <w:rPr>
                <w:noProof/>
                <w:webHidden/>
              </w:rPr>
              <w:instrText xml:space="preserve"> PAGEREF _Toc114650873 \h </w:instrText>
            </w:r>
            <w:r>
              <w:rPr>
                <w:noProof/>
                <w:webHidden/>
              </w:rPr>
            </w:r>
            <w:r>
              <w:rPr>
                <w:noProof/>
                <w:webHidden/>
              </w:rPr>
              <w:fldChar w:fldCharType="separate"/>
            </w:r>
            <w:r>
              <w:rPr>
                <w:noProof/>
                <w:webHidden/>
              </w:rPr>
              <w:t>22</w:t>
            </w:r>
            <w:r>
              <w:rPr>
                <w:noProof/>
                <w:webHidden/>
              </w:rPr>
              <w:fldChar w:fldCharType="end"/>
            </w:r>
          </w:hyperlink>
        </w:p>
        <w:p w14:paraId="074741F2" w14:textId="6129E83D" w:rsidR="00E9667C" w:rsidRDefault="00E9667C">
          <w:r>
            <w:rPr>
              <w:b/>
              <w:bCs/>
              <w:noProof/>
            </w:rPr>
            <w:fldChar w:fldCharType="end"/>
          </w:r>
        </w:p>
      </w:sdtContent>
    </w:sdt>
    <w:p w14:paraId="31D48F74" w14:textId="77777777" w:rsidR="00E9667C" w:rsidRDefault="00E9667C" w:rsidP="008A6D30"/>
    <w:p w14:paraId="6576F110" w14:textId="77777777" w:rsidR="00B2775A" w:rsidRDefault="00B2775A" w:rsidP="008A6D30">
      <w:pPr>
        <w:sectPr w:rsidR="00B2775A" w:rsidSect="007E5137">
          <w:footerReference w:type="default" r:id="rId9"/>
          <w:footerReference w:type="first" r:id="rId10"/>
          <w:pgSz w:w="12240" w:h="15840"/>
          <w:pgMar w:top="1440" w:right="1440" w:bottom="1440" w:left="1440" w:header="720" w:footer="720" w:gutter="0"/>
          <w:pgNumType w:fmt="lowerRoman" w:start="0"/>
          <w:cols w:space="720"/>
          <w:titlePg/>
          <w:docGrid w:linePitch="360"/>
        </w:sectPr>
      </w:pPr>
    </w:p>
    <w:p w14:paraId="5B92B99A" w14:textId="10BF0904" w:rsidR="008A6D30" w:rsidRDefault="008A6D30" w:rsidP="00D65F56">
      <w:pPr>
        <w:pStyle w:val="Heading1"/>
      </w:pPr>
      <w:bookmarkStart w:id="0" w:name="_Toc114650817"/>
      <w:r>
        <w:lastRenderedPageBreak/>
        <w:t>OVERVIEW</w:t>
      </w:r>
      <w:bookmarkEnd w:id="0"/>
    </w:p>
    <w:p w14:paraId="2E795AE7" w14:textId="64090464" w:rsidR="00873874" w:rsidRDefault="003C1374" w:rsidP="008A6D30">
      <w:r>
        <w:t>The Regional and Planning Development Councils should use the</w:t>
      </w:r>
      <w:r w:rsidR="0064315E">
        <w:t xml:space="preserve"> riverine</w:t>
      </w:r>
      <w:r>
        <w:t xml:space="preserve"> flood and landslide risk assessment products to support their local hazard mitigation plans and flood reduction efforts.  </w:t>
      </w:r>
      <w:r w:rsidR="00E37D01">
        <w:t xml:space="preserve">The comprehensive risk assessment data supports </w:t>
      </w:r>
      <w:r>
        <w:t>detailed</w:t>
      </w:r>
      <w:r w:rsidR="00E37D01">
        <w:t>, site-specific</w:t>
      </w:r>
      <w:r>
        <w:t xml:space="preserve"> analysis at the building or feature level (stream, </w:t>
      </w:r>
      <w:r w:rsidR="00E37D01">
        <w:t xml:space="preserve">buyout </w:t>
      </w:r>
      <w:r>
        <w:t xml:space="preserve">parcel, </w:t>
      </w:r>
      <w:r w:rsidR="00E37D01">
        <w:t xml:space="preserve">roads/railroads, </w:t>
      </w:r>
      <w:r>
        <w:t>National Register Area</w:t>
      </w:r>
      <w:r w:rsidR="00E37D01">
        <w:t>s</w:t>
      </w:r>
      <w:r>
        <w:t>, etc.)</w:t>
      </w:r>
      <w:r w:rsidR="00E37D01">
        <w:t xml:space="preserve">.  It also allows analysis at the community level </w:t>
      </w:r>
      <w:r>
        <w:t xml:space="preserve">(county, unincorporated/incorporated areas) </w:t>
      </w:r>
      <w:r w:rsidR="00E37D01">
        <w:t xml:space="preserve">to </w:t>
      </w:r>
      <w:r w:rsidR="00873874">
        <w:t>identify</w:t>
      </w:r>
      <w:r w:rsidR="00E37D01">
        <w:t xml:space="preserve"> which </w:t>
      </w:r>
      <w:r w:rsidR="00873874">
        <w:t xml:space="preserve">jurisdictions are at more risk than others.  All the building, feature, and community level risk assessment data in this report should </w:t>
      </w:r>
      <w:r w:rsidR="00F451C0">
        <w:t>assist</w:t>
      </w:r>
      <w:r w:rsidR="00873874">
        <w:t xml:space="preserve"> stakeholders </w:t>
      </w:r>
      <w:r w:rsidR="00F451C0">
        <w:t xml:space="preserve">in </w:t>
      </w:r>
      <w:r w:rsidR="0064315E">
        <w:t xml:space="preserve">evaluating </w:t>
      </w:r>
      <w:r w:rsidR="00F451C0">
        <w:t xml:space="preserve">specific risk factors and correlating </w:t>
      </w:r>
      <w:r w:rsidR="0064315E">
        <w:t xml:space="preserve">these risks to </w:t>
      </w:r>
      <w:r w:rsidR="00F451C0">
        <w:t>potential</w:t>
      </w:r>
      <w:r w:rsidR="00873874">
        <w:t xml:space="preserve"> mitigation measures.</w:t>
      </w:r>
      <w:r w:rsidR="00737CAA">
        <w:t xml:space="preserve">  </w:t>
      </w:r>
    </w:p>
    <w:p w14:paraId="40F4BDAE" w14:textId="4A3FFECA" w:rsidR="0064315E" w:rsidRDefault="00E37D01" w:rsidP="00F451C0">
      <w:r>
        <w:t xml:space="preserve">An </w:t>
      </w:r>
      <w:hyperlink r:id="rId11" w:history="1">
        <w:r w:rsidRPr="00DA0A1E">
          <w:rPr>
            <w:rStyle w:val="Hyperlink"/>
          </w:rPr>
          <w:t>Index Guide</w:t>
        </w:r>
      </w:hyperlink>
      <w:r>
        <w:t xml:space="preserve"> provides </w:t>
      </w:r>
      <w:r w:rsidRPr="00F451C0">
        <w:rPr>
          <w:i/>
          <w:iCs/>
        </w:rPr>
        <w:t>access</w:t>
      </w:r>
      <w:r>
        <w:t xml:space="preserve"> to the various</w:t>
      </w:r>
      <w:r w:rsidR="00F451C0">
        <w:t xml:space="preserve"> </w:t>
      </w:r>
      <w:r>
        <w:t>risk assessment products that include</w:t>
      </w:r>
      <w:r w:rsidR="00F451C0">
        <w:t xml:space="preserve"> GIS files,</w:t>
      </w:r>
      <w:r w:rsidR="0064315E">
        <w:t xml:space="preserve"> risk assessment tables at the building and community level scales, </w:t>
      </w:r>
      <w:r w:rsidR="00F451C0">
        <w:t>static and online map</w:t>
      </w:r>
      <w:r w:rsidR="0064315E">
        <w:t>s</w:t>
      </w:r>
      <w:r w:rsidR="00F451C0">
        <w:t>, subject reports</w:t>
      </w:r>
      <w:r w:rsidR="00AE7456">
        <w:t>, and 3D flood visualizations</w:t>
      </w:r>
      <w:r>
        <w:t>.</w:t>
      </w:r>
      <w:r w:rsidR="00AE7456">
        <w:t xml:space="preserve">  </w:t>
      </w:r>
      <w:r w:rsidR="00F451C0">
        <w:t>Most of the risk assessment data can be viewed on the</w:t>
      </w:r>
      <w:r w:rsidR="0064315E">
        <w:t xml:space="preserve"> interactive</w:t>
      </w:r>
      <w:r w:rsidR="00F451C0">
        <w:t xml:space="preserve"> WV Flood Tool (</w:t>
      </w:r>
      <w:hyperlink r:id="rId12" w:history="1">
        <w:r w:rsidR="00F451C0" w:rsidRPr="003075BD">
          <w:rPr>
            <w:rStyle w:val="Hyperlink"/>
          </w:rPr>
          <w:t>https://www.mapwv.gov/flood</w:t>
        </w:r>
      </w:hyperlink>
      <w:r w:rsidR="00F451C0">
        <w:t>).</w:t>
      </w:r>
    </w:p>
    <w:p w14:paraId="47C9EAF0" w14:textId="3711DB74" w:rsidR="00F451C0" w:rsidRDefault="00304A20" w:rsidP="008A6D30">
      <w:r>
        <w:rPr>
          <w:noProof/>
        </w:rPr>
        <w:drawing>
          <wp:anchor distT="0" distB="0" distL="114300" distR="114300" simplePos="0" relativeHeight="251664384" behindDoc="0" locked="0" layoutInCell="1" allowOverlap="1" wp14:anchorId="18461CF6" wp14:editId="1E03DD71">
            <wp:simplePos x="0" y="0"/>
            <wp:positionH relativeFrom="column">
              <wp:posOffset>142875</wp:posOffset>
            </wp:positionH>
            <wp:positionV relativeFrom="paragraph">
              <wp:posOffset>1229360</wp:posOffset>
            </wp:positionV>
            <wp:extent cx="5657850" cy="4225290"/>
            <wp:effectExtent l="0" t="0" r="0" b="3810"/>
            <wp:wrapThrough wrapText="bothSides">
              <wp:wrapPolygon edited="0">
                <wp:start x="0" y="0"/>
                <wp:lineTo x="0" y="21522"/>
                <wp:lineTo x="21527" y="21522"/>
                <wp:lineTo x="2152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57850" cy="4225290"/>
                    </a:xfrm>
                    <a:prstGeom prst="rect">
                      <a:avLst/>
                    </a:prstGeom>
                  </pic:spPr>
                </pic:pic>
              </a:graphicData>
            </a:graphic>
            <wp14:sizeRelH relativeFrom="margin">
              <wp14:pctWidth>0</wp14:pctWidth>
            </wp14:sizeRelH>
            <wp14:sizeRelV relativeFrom="margin">
              <wp14:pctHeight>0</wp14:pctHeight>
            </wp14:sizeRelV>
          </wp:anchor>
        </w:drawing>
      </w:r>
      <w:r w:rsidR="00E37D01">
        <w:t xml:space="preserve"> </w:t>
      </w:r>
      <w:r w:rsidR="00F451C0" w:rsidRPr="0064315E">
        <w:t xml:space="preserve">The </w:t>
      </w:r>
      <w:hyperlink r:id="rId14" w:history="1">
        <w:r w:rsidR="00F451C0" w:rsidRPr="0064315E">
          <w:rPr>
            <w:rStyle w:val="Hyperlink"/>
          </w:rPr>
          <w:t>WV Building-Level Risk Assessment (BLRA) Cycle and Methodology</w:t>
        </w:r>
      </w:hyperlink>
      <w:r w:rsidR="0064315E" w:rsidRPr="0064315E">
        <w:t xml:space="preserve"> p</w:t>
      </w:r>
      <w:r w:rsidR="0064315E">
        <w:t>rovides procedural information about how the flood risk assessment data and flood models are generated and validated through engagement with the communities.</w:t>
      </w:r>
      <w:r w:rsidR="00497AEA">
        <w:t xml:space="preserve">  The statewide building </w:t>
      </w:r>
      <w:r w:rsidR="00B71BA6">
        <w:t>risk assessment database</w:t>
      </w:r>
      <w:r w:rsidR="00497AEA">
        <w:t xml:space="preserve"> is updated annually with new building characteristics from the statewide tax assessment database.  It can be updated with </w:t>
      </w:r>
      <w:r w:rsidR="00B71BA6">
        <w:t xml:space="preserve">user-defined values, </w:t>
      </w:r>
      <w:r w:rsidR="00497AEA">
        <w:t>corrections</w:t>
      </w:r>
      <w:r w:rsidR="00B71BA6">
        <w:t>, or</w:t>
      </w:r>
      <w:r w:rsidR="00497AEA">
        <w:t xml:space="preserve"> updates from stakeholders, especially in validating properties that have been mitigated.</w:t>
      </w:r>
    </w:p>
    <w:p w14:paraId="0D1AA365" w14:textId="2CFF3F3A" w:rsidR="00D65F56" w:rsidRDefault="00304A20" w:rsidP="00304A20">
      <w:pPr>
        <w:pStyle w:val="Heading1"/>
        <w:rPr>
          <w:highlight w:val="yellow"/>
        </w:rPr>
      </w:pPr>
      <w:r>
        <w:rPr>
          <w:highlight w:val="yellow"/>
        </w:rPr>
        <w:br w:type="page"/>
      </w:r>
      <w:bookmarkStart w:id="1" w:name="_Toc114650818"/>
      <w:r w:rsidR="00D65F56" w:rsidRPr="00D65F56">
        <w:lastRenderedPageBreak/>
        <w:t>FLOOD ZONE MAP INFORMATION</w:t>
      </w:r>
      <w:bookmarkEnd w:id="1"/>
    </w:p>
    <w:p w14:paraId="55BFEC82" w14:textId="06F5DF7B" w:rsidR="00304A20" w:rsidRPr="00304A20" w:rsidRDefault="00304A20" w:rsidP="00304A20">
      <w:pPr>
        <w:rPr>
          <w:bCs/>
          <w:i/>
          <w:iCs/>
        </w:rPr>
      </w:pPr>
      <w:r>
        <w:rPr>
          <w:bCs/>
          <w:i/>
          <w:iCs/>
        </w:rPr>
        <w:br/>
      </w:r>
      <w:r w:rsidRPr="00304A20">
        <w:rPr>
          <w:bCs/>
          <w:i/>
          <w:iCs/>
        </w:rPr>
        <w:t>What flood</w:t>
      </w:r>
      <w:r>
        <w:rPr>
          <w:bCs/>
          <w:i/>
          <w:iCs/>
        </w:rPr>
        <w:t xml:space="preserve"> zone map</w:t>
      </w:r>
      <w:r w:rsidRPr="00304A20">
        <w:rPr>
          <w:bCs/>
          <w:i/>
          <w:iCs/>
        </w:rPr>
        <w:t xml:space="preserve"> information is </w:t>
      </w:r>
      <w:r>
        <w:rPr>
          <w:bCs/>
          <w:i/>
          <w:iCs/>
        </w:rPr>
        <w:t>available now or in the future</w:t>
      </w:r>
      <w:r w:rsidRPr="00304A20">
        <w:rPr>
          <w:bCs/>
          <w:i/>
          <w:iCs/>
        </w:rPr>
        <w:t>?</w:t>
      </w:r>
    </w:p>
    <w:p w14:paraId="0D956A8B" w14:textId="6B9E12FC" w:rsidR="00B71BA6" w:rsidRDefault="0064315E" w:rsidP="00B71BA6">
      <w:r>
        <w:t xml:space="preserve">FEMA’s effective and advisory flood zone maps for riverine flooding are utilized for the inventory of all </w:t>
      </w:r>
      <w:r w:rsidR="00497AEA">
        <w:t>primary structures in the high-risk 1%-annual-chance floodplain.  Certain regions of the State have advisory floodplains which in the future most likely will become effective upon the completion of restudies.</w:t>
      </w:r>
      <w:r w:rsidR="00B71BA6">
        <w:t xml:space="preserve">  The flood zone maps are continuously being restudied and changing based on </w:t>
      </w:r>
      <w:r w:rsidR="00670A20">
        <w:t xml:space="preserve">historical flood </w:t>
      </w:r>
      <w:r w:rsidR="00B71BA6">
        <w:t xml:space="preserve">and </w:t>
      </w:r>
      <w:r w:rsidR="00670A20">
        <w:t xml:space="preserve">updated </w:t>
      </w:r>
      <w:r w:rsidR="00B71BA6">
        <w:t xml:space="preserve">stream flow information.  </w:t>
      </w:r>
    </w:p>
    <w:p w14:paraId="290FF07D" w14:textId="26430CE1" w:rsidR="00304A20" w:rsidRPr="00304A20" w:rsidRDefault="00304A20" w:rsidP="00304A20">
      <w:pPr>
        <w:pStyle w:val="Heading2"/>
        <w:rPr>
          <w:highlight w:val="yellow"/>
        </w:rPr>
      </w:pPr>
      <w:r>
        <w:br/>
      </w:r>
      <w:bookmarkStart w:id="2" w:name="_Toc114650819"/>
      <w:r w:rsidR="00B04E3F">
        <w:t>Historical Flood Information</w:t>
      </w:r>
      <w:bookmarkEnd w:id="2"/>
    </w:p>
    <w:p w14:paraId="36740203" w14:textId="6389A793" w:rsidR="00B04E3F" w:rsidRPr="000D0B5B" w:rsidRDefault="00B04E3F" w:rsidP="00B04E3F">
      <w:pPr>
        <w:rPr>
          <w:bCs/>
          <w:i/>
          <w:iCs/>
        </w:rPr>
      </w:pPr>
      <w:r w:rsidRPr="000D0B5B">
        <w:rPr>
          <w:bCs/>
        </w:rPr>
        <w:t>USGS high</w:t>
      </w:r>
      <w:r>
        <w:rPr>
          <w:bCs/>
        </w:rPr>
        <w:t>-</w:t>
      </w:r>
      <w:r w:rsidRPr="000D0B5B">
        <w:rPr>
          <w:bCs/>
        </w:rPr>
        <w:t>water marks</w:t>
      </w:r>
      <w:r>
        <w:rPr>
          <w:bCs/>
        </w:rPr>
        <w:t xml:space="preserve"> (n=421)</w:t>
      </w:r>
      <w:r w:rsidRPr="000D0B5B">
        <w:rPr>
          <w:bCs/>
        </w:rPr>
        <w:t xml:space="preserve"> </w:t>
      </w:r>
      <w:r>
        <w:rPr>
          <w:bCs/>
        </w:rPr>
        <w:t xml:space="preserve">collected </w:t>
      </w:r>
      <w:r w:rsidRPr="000D0B5B">
        <w:rPr>
          <w:bCs/>
        </w:rPr>
        <w:t>from the June 2016 flood</w:t>
      </w:r>
      <w:r>
        <w:rPr>
          <w:bCs/>
        </w:rPr>
        <w:t xml:space="preserve"> event</w:t>
      </w:r>
      <w:r w:rsidRPr="000D0B5B">
        <w:rPr>
          <w:bCs/>
        </w:rPr>
        <w:t xml:space="preserve"> and other historical flood information should be evaluated as a risk factor.  </w:t>
      </w:r>
      <w:hyperlink r:id="rId15" w:history="1">
        <w:r>
          <w:rPr>
            <w:rStyle w:val="Hyperlink"/>
            <w:bCs/>
          </w:rPr>
          <w:t>West Virginia High-Water Marks</w:t>
        </w:r>
      </w:hyperlink>
      <w:r w:rsidRPr="000D0B5B">
        <w:rPr>
          <w:bCs/>
        </w:rPr>
        <w:t xml:space="preserve"> are viewable on the WV Flood Tool.</w:t>
      </w:r>
      <w:r>
        <w:rPr>
          <w:bCs/>
        </w:rPr>
        <w:t xml:space="preserve">  </w:t>
      </w:r>
      <w:r w:rsidRPr="000D0B5B">
        <w:rPr>
          <w:bCs/>
          <w:i/>
          <w:iCs/>
        </w:rPr>
        <w:t>For new development</w:t>
      </w:r>
      <w:r>
        <w:rPr>
          <w:bCs/>
          <w:i/>
          <w:iCs/>
        </w:rPr>
        <w:t>,</w:t>
      </w:r>
      <w:r w:rsidRPr="000D0B5B">
        <w:rPr>
          <w:bCs/>
          <w:i/>
          <w:iCs/>
        </w:rPr>
        <w:t xml:space="preserve"> the design </w:t>
      </w:r>
      <w:r>
        <w:rPr>
          <w:bCs/>
          <w:i/>
          <w:iCs/>
        </w:rPr>
        <w:t>flood elevation</w:t>
      </w:r>
      <w:r w:rsidRPr="000D0B5B">
        <w:rPr>
          <w:bCs/>
          <w:i/>
          <w:iCs/>
        </w:rPr>
        <w:t xml:space="preserve"> should be above the </w:t>
      </w:r>
      <w:r>
        <w:rPr>
          <w:bCs/>
          <w:i/>
          <w:iCs/>
        </w:rPr>
        <w:t xml:space="preserve">recorded </w:t>
      </w:r>
      <w:r w:rsidRPr="000D0B5B">
        <w:rPr>
          <w:bCs/>
          <w:i/>
          <w:iCs/>
        </w:rPr>
        <w:t>high-water marks.</w:t>
      </w:r>
    </w:p>
    <w:p w14:paraId="1B7DF7A5" w14:textId="77777777" w:rsidR="00B04E3F" w:rsidRPr="002D3672" w:rsidRDefault="00B04E3F" w:rsidP="00B04E3F">
      <w:pPr>
        <w:rPr>
          <w:bCs/>
        </w:rPr>
      </w:pPr>
      <w:r w:rsidRPr="002D3672">
        <w:rPr>
          <w:bCs/>
        </w:rPr>
        <w:t xml:space="preserve">An excellent resource for risk assessment and planning is the FEMA Region III published report named the </w:t>
      </w:r>
      <w:r>
        <w:rPr>
          <w:bCs/>
        </w:rPr>
        <w:t>“</w:t>
      </w:r>
      <w:hyperlink r:id="rId16" w:history="1">
        <w:r w:rsidRPr="002D3672">
          <w:rPr>
            <w:rStyle w:val="Hyperlink"/>
            <w:bCs/>
          </w:rPr>
          <w:t>Understanding Flood Dangers in Central West Virginia: Lessons Learned from the June 2016 Flood</w:t>
        </w:r>
      </w:hyperlink>
      <w:r w:rsidRPr="002D3672">
        <w:rPr>
          <w:bCs/>
        </w:rPr>
        <w:t>.</w:t>
      </w:r>
      <w:r>
        <w:rPr>
          <w:bCs/>
        </w:rPr>
        <w:t xml:space="preserve">”  </w:t>
      </w:r>
      <w:r w:rsidRPr="002D3672">
        <w:rPr>
          <w:bCs/>
        </w:rPr>
        <w:t>Story Maps created as supplemental to this report about the devastating June 2017 flood:</w:t>
      </w:r>
    </w:p>
    <w:p w14:paraId="4A924484" w14:textId="77777777" w:rsidR="00B04E3F" w:rsidRPr="002D3672" w:rsidRDefault="0087303C" w:rsidP="00B04E3F">
      <w:pPr>
        <w:pStyle w:val="ListParagraph"/>
        <w:numPr>
          <w:ilvl w:val="0"/>
          <w:numId w:val="8"/>
        </w:numPr>
        <w:spacing w:line="256" w:lineRule="auto"/>
        <w:rPr>
          <w:bCs/>
        </w:rPr>
      </w:pPr>
      <w:hyperlink r:id="rId17" w:history="1">
        <w:r w:rsidR="00B04E3F" w:rsidRPr="002D3672">
          <w:rPr>
            <w:rStyle w:val="Hyperlink"/>
            <w:rFonts w:cstheme="minorHAnsi"/>
            <w:bCs/>
          </w:rPr>
          <w:t>Flood Risk in West Virginia:  What We Learned from the June 2016 Flood</w:t>
        </w:r>
      </w:hyperlink>
    </w:p>
    <w:p w14:paraId="685B520B" w14:textId="77777777" w:rsidR="00B04E3F" w:rsidRPr="002D3672" w:rsidRDefault="0087303C" w:rsidP="00B04E3F">
      <w:pPr>
        <w:pStyle w:val="ListParagraph"/>
        <w:numPr>
          <w:ilvl w:val="0"/>
          <w:numId w:val="8"/>
        </w:numPr>
        <w:spacing w:line="256" w:lineRule="auto"/>
        <w:rPr>
          <w:rStyle w:val="Hyperlink"/>
          <w:bCs/>
        </w:rPr>
      </w:pPr>
      <w:hyperlink r:id="rId18" w:history="1">
        <w:r w:rsidR="00B04E3F" w:rsidRPr="002D3672">
          <w:rPr>
            <w:rStyle w:val="Hyperlink"/>
            <w:rFonts w:cstheme="minorHAnsi"/>
            <w:bCs/>
          </w:rPr>
          <w:t>WV Flooded Towns, June 2016. The Historic Flooding of Southern West Virginia on June 23, 2016</w:t>
        </w:r>
      </w:hyperlink>
      <w:r w:rsidR="00B04E3F" w:rsidRPr="002D3672">
        <w:rPr>
          <w:rStyle w:val="Hyperlink"/>
          <w:rFonts w:cstheme="minorHAnsi"/>
          <w:bCs/>
        </w:rPr>
        <w:t xml:space="preserve"> </w:t>
      </w:r>
    </w:p>
    <w:p w14:paraId="126764E3" w14:textId="77777777" w:rsidR="00B04E3F" w:rsidRDefault="00B04E3F" w:rsidP="00B04E3F">
      <w:pPr>
        <w:rPr>
          <w:b/>
        </w:rPr>
      </w:pPr>
    </w:p>
    <w:p w14:paraId="239619BB" w14:textId="77777777" w:rsidR="00B04E3F" w:rsidRDefault="00B04E3F" w:rsidP="00B04E3F">
      <w:pPr>
        <w:pStyle w:val="Heading2"/>
      </w:pPr>
      <w:bookmarkStart w:id="3" w:name="_Toc114650820"/>
      <w:r w:rsidRPr="00C87778">
        <w:t>Active Flood Studies</w:t>
      </w:r>
      <w:r>
        <w:t xml:space="preserve"> and Mapping</w:t>
      </w:r>
      <w:bookmarkEnd w:id="3"/>
    </w:p>
    <w:p w14:paraId="5065D66D" w14:textId="00150F1C" w:rsidR="00B04E3F" w:rsidRDefault="00B04E3F" w:rsidP="00B04E3F">
      <w:pPr>
        <w:rPr>
          <w:bCs/>
        </w:rPr>
      </w:pPr>
      <w:r w:rsidRPr="00725CAD">
        <w:rPr>
          <w:bCs/>
        </w:rPr>
        <w:t xml:space="preserve">FEMA is creating new flood maps for </w:t>
      </w:r>
      <w:r>
        <w:rPr>
          <w:bCs/>
        </w:rPr>
        <w:t>part of entire</w:t>
      </w:r>
      <w:r w:rsidRPr="00725CAD">
        <w:rPr>
          <w:bCs/>
        </w:rPr>
        <w:t xml:space="preserve"> in </w:t>
      </w:r>
      <w:r w:rsidRPr="000D0B5B">
        <w:rPr>
          <w:b/>
          <w:bCs/>
          <w:color w:val="002060"/>
        </w:rPr>
        <w:t xml:space="preserve">Region 4 </w:t>
      </w:r>
      <w:r w:rsidRPr="00725CAD">
        <w:rPr>
          <w:bCs/>
        </w:rPr>
        <w:t>which will alter the floodplain boundaries and base flood elevations.</w:t>
      </w:r>
      <w:r>
        <w:rPr>
          <w:bCs/>
        </w:rPr>
        <w:t xml:space="preserve">  The </w:t>
      </w:r>
      <w:hyperlink r:id="rId19" w:history="1">
        <w:r w:rsidRPr="00737CAA">
          <w:rPr>
            <w:rStyle w:val="Hyperlink"/>
            <w:bCs/>
          </w:rPr>
          <w:t>active flood studies</w:t>
        </w:r>
      </w:hyperlink>
      <w:r>
        <w:rPr>
          <w:bCs/>
        </w:rPr>
        <w:t xml:space="preserve"> will significantly affect the floodplain boundary and base flood elevations of certain communities, which in turn will affect the building-level inventory and risk assessments as well.   For example, the base flood elevation is increasing six feet along the </w:t>
      </w:r>
      <w:r w:rsidRPr="000D0B5B">
        <w:rPr>
          <w:bCs/>
          <w:i/>
          <w:iCs/>
        </w:rPr>
        <w:t xml:space="preserve">Gauley River </w:t>
      </w:r>
      <w:r>
        <w:rPr>
          <w:bCs/>
        </w:rPr>
        <w:t xml:space="preserve">for the community of </w:t>
      </w:r>
      <w:r w:rsidRPr="000F360D">
        <w:rPr>
          <w:b/>
          <w:bCs/>
          <w:color w:val="002060"/>
        </w:rPr>
        <w:t>Camden-on-Gauley</w:t>
      </w:r>
      <w:r>
        <w:rPr>
          <w:bCs/>
        </w:rPr>
        <w:t xml:space="preserve"> in Webster County.  The restudies also show where the base flood elevation is decreasing by 3 feet for the </w:t>
      </w:r>
      <w:r w:rsidRPr="00656CBF">
        <w:rPr>
          <w:b/>
          <w:bCs/>
          <w:color w:val="002060"/>
        </w:rPr>
        <w:t>Ronceverte Wastewater Treatment Plant</w:t>
      </w:r>
      <w:r>
        <w:t xml:space="preserve"> in Greenbrier County.  During the restudies new high-water marks, stream flow data, and topography are incorporated into the new flood map studies to determine the base flood elevations.</w:t>
      </w:r>
    </w:p>
    <w:p w14:paraId="2317A300" w14:textId="702ED1DA" w:rsidR="00B04E3F" w:rsidRDefault="008A6D30" w:rsidP="00D65F56">
      <w:pPr>
        <w:pStyle w:val="Heading2"/>
      </w:pPr>
      <w:bookmarkStart w:id="4" w:name="_Toc114650821"/>
      <w:r w:rsidRPr="00D65F56">
        <w:t>Flood Zone</w:t>
      </w:r>
      <w:r w:rsidR="00B04E3F">
        <w:t xml:space="preserve"> Measurements</w:t>
      </w:r>
      <w:bookmarkEnd w:id="4"/>
    </w:p>
    <w:p w14:paraId="27A3A988" w14:textId="7C44DB99" w:rsidR="00B04E3F" w:rsidRDefault="00B04E3F" w:rsidP="00B04E3F">
      <w:r>
        <w:t xml:space="preserve">Measurements of the flood zones allow for the calculations of the acreage and miles of flood zones which can be compared with other jurisdictions.  The first calculation is the acreage of the Special Flood Hazard Area (SFHA), the effective 1%-annual-chance flood zone.  A second calculation estimates the mileage of both the high-risk effective and advisory 1%-annual chance floodplains.     </w:t>
      </w:r>
    </w:p>
    <w:p w14:paraId="69B01960" w14:textId="19E445EB" w:rsidR="008A6D30" w:rsidRPr="00D65F56" w:rsidRDefault="008A6D30" w:rsidP="00B04E3F">
      <w:pPr>
        <w:pStyle w:val="Heading3"/>
      </w:pPr>
      <w:r w:rsidRPr="00D65F56">
        <w:lastRenderedPageBreak/>
        <w:t xml:space="preserve"> </w:t>
      </w:r>
      <w:bookmarkStart w:id="5" w:name="_Toc114650822"/>
      <w:r w:rsidR="00B04E3F">
        <w:t xml:space="preserve">Special Flood Hazard </w:t>
      </w:r>
      <w:r w:rsidRPr="00D65F56">
        <w:t>Area (in acres)</w:t>
      </w:r>
      <w:r w:rsidR="00B04E3F" w:rsidRPr="00B04E3F">
        <w:t>:</w:t>
      </w:r>
      <w:bookmarkEnd w:id="5"/>
      <w:r w:rsidR="00B71BA6" w:rsidRPr="00B04E3F">
        <w:t xml:space="preserve"> </w:t>
      </w:r>
    </w:p>
    <w:p w14:paraId="23CA7588" w14:textId="77777777" w:rsidR="008A6D30" w:rsidRPr="008A6D30" w:rsidRDefault="008A6D30" w:rsidP="008A6D30">
      <w:pPr>
        <w:pStyle w:val="ListParagraph"/>
        <w:numPr>
          <w:ilvl w:val="0"/>
          <w:numId w:val="1"/>
        </w:numPr>
      </w:pPr>
      <w:r w:rsidRPr="00B2775A">
        <w:rPr>
          <w:b/>
          <w:bCs/>
          <w:iCs/>
          <w:color w:val="002060"/>
        </w:rPr>
        <w:t>Greenbrier County</w:t>
      </w:r>
      <w:r w:rsidRPr="00B2775A">
        <w:rPr>
          <w:bCs/>
          <w:iCs/>
          <w:color w:val="002060"/>
        </w:rPr>
        <w:t xml:space="preserve"> </w:t>
      </w:r>
      <w:r w:rsidRPr="008A6D30">
        <w:rPr>
          <w:iCs/>
        </w:rPr>
        <w:t>(4</w:t>
      </w:r>
      <w:r w:rsidRPr="008A6D30">
        <w:rPr>
          <w:iCs/>
          <w:vertAlign w:val="superscript"/>
        </w:rPr>
        <w:t xml:space="preserve">th </w:t>
      </w:r>
      <w:r w:rsidRPr="008A6D30">
        <w:rPr>
          <w:iCs/>
        </w:rPr>
        <w:t xml:space="preserve">largest in the State) and </w:t>
      </w:r>
      <w:r w:rsidRPr="00B2775A">
        <w:rPr>
          <w:b/>
          <w:iCs/>
          <w:color w:val="002060"/>
        </w:rPr>
        <w:t>Greenbrier Unincorporated</w:t>
      </w:r>
      <w:r w:rsidRPr="000F738B">
        <w:rPr>
          <w:b/>
          <w:iCs/>
          <w:color w:val="1F4E79" w:themeColor="accent1" w:themeShade="80"/>
        </w:rPr>
        <w:t xml:space="preserve"> </w:t>
      </w:r>
      <w:r w:rsidRPr="008A6D30">
        <w:rPr>
          <w:iCs/>
        </w:rPr>
        <w:t>(ranked 4</w:t>
      </w:r>
      <w:r w:rsidRPr="008A6D30">
        <w:rPr>
          <w:iCs/>
          <w:vertAlign w:val="superscript"/>
        </w:rPr>
        <w:t>th</w:t>
      </w:r>
      <w:r w:rsidRPr="008A6D30">
        <w:rPr>
          <w:iCs/>
        </w:rPr>
        <w:t>)</w:t>
      </w:r>
      <w:r w:rsidRPr="008A6D30">
        <w:rPr>
          <w:bCs/>
          <w:iCs/>
        </w:rPr>
        <w:t xml:space="preserve"> </w:t>
      </w:r>
      <w:r w:rsidRPr="008A6D30">
        <w:rPr>
          <w:iCs/>
        </w:rPr>
        <w:t>have the largest acreage in the Special Flood Hazard Area (SFHA), the effective 1%-annual-chance floodplain</w:t>
      </w:r>
      <w:r>
        <w:rPr>
          <w:iCs/>
        </w:rPr>
        <w:t>.</w:t>
      </w:r>
    </w:p>
    <w:p w14:paraId="290BAD56" w14:textId="727350F5" w:rsidR="008A6D30" w:rsidRDefault="008A6D30" w:rsidP="008A6D30">
      <w:pPr>
        <w:pStyle w:val="ListParagraph"/>
        <w:numPr>
          <w:ilvl w:val="0"/>
          <w:numId w:val="1"/>
        </w:numPr>
      </w:pPr>
      <w:r w:rsidRPr="008A6D30">
        <w:t xml:space="preserve">The </w:t>
      </w:r>
      <w:r>
        <w:t>SFHA</w:t>
      </w:r>
      <w:r w:rsidRPr="008A6D30">
        <w:t xml:space="preserve"> (red floodplains on WV Flood Tool)</w:t>
      </w:r>
      <w:r w:rsidR="00EF049F">
        <w:t xml:space="preserve"> </w:t>
      </w:r>
      <w:r w:rsidRPr="008A6D30">
        <w:t xml:space="preserve">will increase for </w:t>
      </w:r>
      <w:r w:rsidR="00EF049F">
        <w:t>several</w:t>
      </w:r>
      <w:r w:rsidRPr="008A6D30">
        <w:t xml:space="preserve"> communities in </w:t>
      </w:r>
      <w:r w:rsidRPr="00B2775A">
        <w:rPr>
          <w:b/>
          <w:color w:val="002060"/>
        </w:rPr>
        <w:t>Greenbrier County</w:t>
      </w:r>
      <w:r w:rsidRPr="00B2775A">
        <w:rPr>
          <w:color w:val="002060"/>
        </w:rPr>
        <w:t xml:space="preserve"> </w:t>
      </w:r>
      <w:r w:rsidRPr="008A6D30">
        <w:t xml:space="preserve">when the Preliminary flood zones (orange) become effective.  The town of </w:t>
      </w:r>
      <w:r w:rsidRPr="00B2775A">
        <w:rPr>
          <w:b/>
          <w:color w:val="002060"/>
        </w:rPr>
        <w:t>Rainelle</w:t>
      </w:r>
      <w:r w:rsidRPr="008A6D30">
        <w:t xml:space="preserve"> will have the largest SFHA increase.  See </w:t>
      </w:r>
      <w:hyperlink r:id="rId20" w:history="1">
        <w:r w:rsidRPr="008A6D30">
          <w:rPr>
            <w:rStyle w:val="Hyperlink"/>
          </w:rPr>
          <w:t>Rainelle map link</w:t>
        </w:r>
      </w:hyperlink>
      <w:r w:rsidRPr="008A6D30">
        <w:t>.</w:t>
      </w:r>
    </w:p>
    <w:p w14:paraId="4005884B" w14:textId="09A90E6E" w:rsidR="008A6D30" w:rsidRPr="00B04E3F" w:rsidRDefault="008A6D30" w:rsidP="008A6D30">
      <w:pPr>
        <w:pStyle w:val="ListParagraph"/>
        <w:numPr>
          <w:ilvl w:val="0"/>
          <w:numId w:val="1"/>
        </w:numPr>
      </w:pPr>
      <w:r w:rsidRPr="008A6D30">
        <w:rPr>
          <w:iCs/>
        </w:rPr>
        <w:t xml:space="preserve">About 20% of the total incorporated land of </w:t>
      </w:r>
      <w:r w:rsidRPr="000F360D">
        <w:rPr>
          <w:b/>
          <w:bCs/>
          <w:iCs/>
          <w:color w:val="002060"/>
        </w:rPr>
        <w:t>Rupert</w:t>
      </w:r>
      <w:r w:rsidRPr="000F360D">
        <w:rPr>
          <w:iCs/>
          <w:color w:val="002060"/>
        </w:rPr>
        <w:t>,</w:t>
      </w:r>
      <w:r w:rsidRPr="000F360D">
        <w:rPr>
          <w:b/>
          <w:bCs/>
          <w:iCs/>
          <w:color w:val="002060"/>
        </w:rPr>
        <w:t xml:space="preserve"> Marlinton</w:t>
      </w:r>
      <w:r w:rsidRPr="000F360D">
        <w:rPr>
          <w:iCs/>
          <w:color w:val="002060"/>
        </w:rPr>
        <w:t>,</w:t>
      </w:r>
      <w:r w:rsidRPr="000F360D">
        <w:rPr>
          <w:b/>
          <w:bCs/>
          <w:iCs/>
          <w:color w:val="002060"/>
        </w:rPr>
        <w:t xml:space="preserve"> Alderson</w:t>
      </w:r>
      <w:r w:rsidRPr="000F360D">
        <w:rPr>
          <w:iCs/>
          <w:color w:val="002060"/>
        </w:rPr>
        <w:t xml:space="preserve">, </w:t>
      </w:r>
      <w:r w:rsidRPr="008A6D30">
        <w:rPr>
          <w:iCs/>
        </w:rPr>
        <w:t xml:space="preserve">and </w:t>
      </w:r>
      <w:r w:rsidRPr="000F360D">
        <w:rPr>
          <w:b/>
          <w:bCs/>
          <w:iCs/>
          <w:color w:val="002060"/>
        </w:rPr>
        <w:t>Meadow Bridge</w:t>
      </w:r>
      <w:r w:rsidRPr="000F738B">
        <w:rPr>
          <w:b/>
          <w:bCs/>
          <w:iCs/>
          <w:color w:val="1F4E79" w:themeColor="accent1" w:themeShade="80"/>
        </w:rPr>
        <w:t xml:space="preserve"> </w:t>
      </w:r>
      <w:r w:rsidRPr="008A6D30">
        <w:rPr>
          <w:iCs/>
        </w:rPr>
        <w:t>are in the Special Flood Hazard Area (SFHA) and thus</w:t>
      </w:r>
      <w:r w:rsidR="00EF049F">
        <w:rPr>
          <w:iCs/>
        </w:rPr>
        <w:t xml:space="preserve"> these jurisdictions</w:t>
      </w:r>
      <w:r w:rsidRPr="008A6D30">
        <w:rPr>
          <w:iCs/>
        </w:rPr>
        <w:t xml:space="preserve"> have a higher 1%-annual-chance (100-yr) floodplain exposure than other communities.</w:t>
      </w:r>
    </w:p>
    <w:p w14:paraId="359B5A45" w14:textId="135E7C70" w:rsidR="00B04E3F" w:rsidRPr="00B04E3F" w:rsidRDefault="007E5137" w:rsidP="008A6D30">
      <w:pPr>
        <w:pStyle w:val="ListParagraph"/>
        <w:numPr>
          <w:ilvl w:val="0"/>
          <w:numId w:val="1"/>
        </w:numPr>
      </w:pPr>
      <w:r w:rsidRPr="007E5137">
        <w:t>The acreage of the SFHA (aSFHA) is a programming variable required for those communities (</w:t>
      </w:r>
      <w:r w:rsidRPr="007E5137">
        <w:rPr>
          <w:b/>
          <w:bCs/>
          <w:color w:val="002060"/>
        </w:rPr>
        <w:t>Fayette Unincorporated</w:t>
      </w:r>
      <w:r w:rsidRPr="007E5137">
        <w:t xml:space="preserve"> and </w:t>
      </w:r>
      <w:r w:rsidRPr="007E5137">
        <w:rPr>
          <w:b/>
          <w:bCs/>
          <w:color w:val="002060"/>
        </w:rPr>
        <w:t>Greenbrier Unincorporated</w:t>
      </w:r>
      <w:r w:rsidRPr="007E5137">
        <w:t>) participating in FEMA Community Rating System (CRS) program.</w:t>
      </w:r>
    </w:p>
    <w:p w14:paraId="65FE71EC" w14:textId="464625AF" w:rsidR="00B04E3F" w:rsidRPr="008A6D30" w:rsidRDefault="00B04E3F" w:rsidP="00B04E3F">
      <w:pPr>
        <w:pStyle w:val="Heading3"/>
      </w:pPr>
    </w:p>
    <w:p w14:paraId="2F4A8D19" w14:textId="655B14B9" w:rsidR="008A6D30" w:rsidRPr="00D65F56" w:rsidRDefault="00B04E3F" w:rsidP="00B04E3F">
      <w:pPr>
        <w:pStyle w:val="Heading3"/>
      </w:pPr>
      <w:bookmarkStart w:id="6" w:name="_Toc114650823"/>
      <w:r>
        <w:t xml:space="preserve">High-Risk Effective and Advisory </w:t>
      </w:r>
      <w:r w:rsidR="008A6D30" w:rsidRPr="00D65F56">
        <w:t>Flood Zone Length (in miles)</w:t>
      </w:r>
      <w:r w:rsidRPr="00B04E3F">
        <w:t>:</w:t>
      </w:r>
      <w:bookmarkEnd w:id="6"/>
    </w:p>
    <w:p w14:paraId="5A13C87B" w14:textId="77777777" w:rsidR="008A6D30" w:rsidRDefault="008A6D30" w:rsidP="008A6D30">
      <w:pPr>
        <w:pStyle w:val="ListParagraph"/>
        <w:numPr>
          <w:ilvl w:val="0"/>
          <w:numId w:val="1"/>
        </w:numPr>
      </w:pPr>
      <w:r w:rsidRPr="000F360D">
        <w:rPr>
          <w:b/>
          <w:color w:val="002060"/>
        </w:rPr>
        <w:t>Greenbrier County</w:t>
      </w:r>
      <w:r>
        <w:t xml:space="preserve"> is ranked 2nd in the State in flood zone stream miles.</w:t>
      </w:r>
    </w:p>
    <w:p w14:paraId="43FEECB4" w14:textId="77777777" w:rsidR="00FA2147" w:rsidRDefault="008A6D30" w:rsidP="008A6D30">
      <w:pPr>
        <w:pStyle w:val="ListParagraph"/>
        <w:numPr>
          <w:ilvl w:val="0"/>
          <w:numId w:val="1"/>
        </w:numPr>
      </w:pPr>
      <w:r w:rsidRPr="00C87778">
        <w:t xml:space="preserve">New </w:t>
      </w:r>
      <w:r w:rsidR="00C87778">
        <w:t>flood s</w:t>
      </w:r>
      <w:r w:rsidRPr="00C87778">
        <w:t>tudies</w:t>
      </w:r>
      <w:r w:rsidR="00C87778">
        <w:t xml:space="preserve"> by FEMA</w:t>
      </w:r>
      <w:r w:rsidRPr="00C87778">
        <w:t xml:space="preserve"> will likely double the flood zone miles for</w:t>
      </w:r>
      <w:r w:rsidRPr="000F360D">
        <w:rPr>
          <w:b/>
          <w:color w:val="002060"/>
        </w:rPr>
        <w:t xml:space="preserve"> Fayette County</w:t>
      </w:r>
      <w:r>
        <w:t>.  If the Advisory Floodplains (orange color) for Fayette County become effective (red color)</w:t>
      </w:r>
      <w:r w:rsidR="00C87778">
        <w:t xml:space="preserve"> upon completion of</w:t>
      </w:r>
      <w:r>
        <w:t xml:space="preserve"> new flood studies, then most likely the flood zone miles will more than double (55%) with an increase of 187 miles of effective A Zones.  Refer to </w:t>
      </w:r>
      <w:hyperlink r:id="rId21" w:history="1">
        <w:r w:rsidRPr="008A6D30">
          <w:rPr>
            <w:rStyle w:val="Hyperlink"/>
          </w:rPr>
          <w:t>High-Risk Advisory Floodplains</w:t>
        </w:r>
      </w:hyperlink>
      <w:r>
        <w:t xml:space="preserve"> for more information.</w:t>
      </w:r>
    </w:p>
    <w:p w14:paraId="29767ACA" w14:textId="1D44D029" w:rsidR="000D0B5B" w:rsidRDefault="00C87778" w:rsidP="00B04E3F">
      <w:pPr>
        <w:pStyle w:val="Heading2"/>
        <w:rPr>
          <w:bCs/>
        </w:rPr>
      </w:pPr>
      <w:r>
        <w:br/>
      </w:r>
    </w:p>
    <w:p w14:paraId="2BE199DC" w14:textId="4BB15A41" w:rsidR="00497AEA" w:rsidRDefault="00497AEA">
      <w:pPr>
        <w:rPr>
          <w:highlight w:val="yellow"/>
        </w:rPr>
      </w:pPr>
      <w:r>
        <w:rPr>
          <w:highlight w:val="yellow"/>
        </w:rPr>
        <w:br w:type="page"/>
      </w:r>
    </w:p>
    <w:p w14:paraId="6DE04315" w14:textId="77777777" w:rsidR="00A26F93" w:rsidRDefault="00A26F93" w:rsidP="00C87778">
      <w:pPr>
        <w:rPr>
          <w:highlight w:val="yellow"/>
        </w:rPr>
      </w:pPr>
    </w:p>
    <w:p w14:paraId="46CE80D3" w14:textId="5E4B8443" w:rsidR="00E9667C" w:rsidRDefault="00E9667C" w:rsidP="00E9667C">
      <w:pPr>
        <w:pStyle w:val="Heading1"/>
      </w:pPr>
      <w:bookmarkStart w:id="7" w:name="_Toc114650824"/>
      <w:r w:rsidRPr="00E9667C">
        <w:t>FLOODPLAIN BUILDING INVENTORY AND FUTURE MAP CONDITIONS</w:t>
      </w:r>
      <w:bookmarkEnd w:id="7"/>
    </w:p>
    <w:p w14:paraId="08D8687D" w14:textId="3FEE7C9A" w:rsidR="00725CAD" w:rsidRPr="00EF049F" w:rsidRDefault="00E9667C" w:rsidP="00C87778">
      <w:pPr>
        <w:rPr>
          <w:i/>
          <w:iCs/>
        </w:rPr>
      </w:pPr>
      <w:r>
        <w:br/>
      </w:r>
      <w:r w:rsidR="00C87778" w:rsidRPr="00EF049F">
        <w:rPr>
          <w:i/>
          <w:iCs/>
        </w:rPr>
        <w:t>What buildings are at risk?</w:t>
      </w:r>
    </w:p>
    <w:p w14:paraId="10231916" w14:textId="77777777" w:rsidR="0070536B" w:rsidRDefault="00C87778" w:rsidP="00E9667C">
      <w:pPr>
        <w:pStyle w:val="Heading2"/>
      </w:pPr>
      <w:bookmarkStart w:id="8" w:name="_Toc114650825"/>
      <w:r w:rsidRPr="00424E6D">
        <w:t>Building Risk by Flood Source</w:t>
      </w:r>
      <w:bookmarkEnd w:id="8"/>
    </w:p>
    <w:p w14:paraId="2995F484" w14:textId="77777777" w:rsidR="0070536B" w:rsidRPr="00C000AB" w:rsidRDefault="0070536B" w:rsidP="0070536B">
      <w:r>
        <w:t>T</w:t>
      </w:r>
      <w:r w:rsidRPr="00C000AB">
        <w:t xml:space="preserve">he </w:t>
      </w:r>
      <w:r>
        <w:t>riverine flood sources are often the focus of enhanced mapping and m</w:t>
      </w:r>
      <w:r w:rsidRPr="00C000AB">
        <w:t>itigation</w:t>
      </w:r>
      <w:r>
        <w:t xml:space="preserve"> priorities.  High building counts and high flood depths along river/stream reaches are potential focus areas.  A density of structures in the Approximate A Zone with high flood depths may qualify for a detailed study, for example.</w:t>
      </w:r>
    </w:p>
    <w:p w14:paraId="6E6BB676" w14:textId="77777777" w:rsidR="00C87778" w:rsidRPr="00EF049F" w:rsidRDefault="00C87778" w:rsidP="00EF049F">
      <w:pPr>
        <w:pStyle w:val="ListParagraph"/>
        <w:numPr>
          <w:ilvl w:val="0"/>
          <w:numId w:val="5"/>
        </w:numPr>
        <w:rPr>
          <w:bCs/>
        </w:rPr>
      </w:pPr>
      <w:r w:rsidRPr="00670A20">
        <w:rPr>
          <w:b/>
          <w:bCs/>
          <w:color w:val="002060"/>
        </w:rPr>
        <w:t>Greenbrier River</w:t>
      </w:r>
      <w:r w:rsidRPr="00670A20">
        <w:rPr>
          <w:bCs/>
          <w:color w:val="002060"/>
        </w:rPr>
        <w:t xml:space="preserve"> </w:t>
      </w:r>
      <w:r w:rsidRPr="00EF049F">
        <w:rPr>
          <w:bCs/>
        </w:rPr>
        <w:t xml:space="preserve">in Region 4 has the most structures in the 1%-annual-chance floodplain.  Estimated </w:t>
      </w:r>
      <w:r w:rsidRPr="00EF049F">
        <w:rPr>
          <w:bCs/>
          <w:i/>
          <w:iCs/>
        </w:rPr>
        <w:t xml:space="preserve">Greenbrier River </w:t>
      </w:r>
      <w:r w:rsidRPr="00EF049F">
        <w:rPr>
          <w:bCs/>
        </w:rPr>
        <w:t xml:space="preserve">totals for Greenbrier and Pocahontas counties:  946 buildings in 1% floodplain, $90M dollar exposure </w:t>
      </w:r>
    </w:p>
    <w:p w14:paraId="3543CA13" w14:textId="20AE3536" w:rsidR="00C87778" w:rsidRDefault="00C87778" w:rsidP="00EF049F">
      <w:pPr>
        <w:pStyle w:val="ListParagraph"/>
        <w:numPr>
          <w:ilvl w:val="0"/>
          <w:numId w:val="5"/>
        </w:numPr>
        <w:rPr>
          <w:bCs/>
        </w:rPr>
      </w:pPr>
      <w:r w:rsidRPr="00670A20">
        <w:rPr>
          <w:b/>
          <w:bCs/>
          <w:color w:val="002060"/>
        </w:rPr>
        <w:t>Howard Creek</w:t>
      </w:r>
      <w:r w:rsidRPr="00EF049F">
        <w:rPr>
          <w:bCs/>
        </w:rPr>
        <w:t xml:space="preserve"> in Greenbrier</w:t>
      </w:r>
      <w:r w:rsidR="00BC2228" w:rsidRPr="00EF049F">
        <w:rPr>
          <w:bCs/>
        </w:rPr>
        <w:t xml:space="preserve"> County</w:t>
      </w:r>
      <w:r w:rsidRPr="00EF049F">
        <w:rPr>
          <w:bCs/>
        </w:rPr>
        <w:t xml:space="preserve"> has the highest building dollar exposure of all </w:t>
      </w:r>
      <w:r w:rsidR="00BC2228" w:rsidRPr="00EF049F">
        <w:rPr>
          <w:bCs/>
        </w:rPr>
        <w:t xml:space="preserve">Region 4 </w:t>
      </w:r>
      <w:r w:rsidRPr="00EF049F">
        <w:rPr>
          <w:bCs/>
        </w:rPr>
        <w:t>communities</w:t>
      </w:r>
      <w:r w:rsidR="00BC2228" w:rsidRPr="00EF049F">
        <w:rPr>
          <w:bCs/>
        </w:rPr>
        <w:t>.</w:t>
      </w:r>
    </w:p>
    <w:p w14:paraId="563C28A4" w14:textId="460B4E43" w:rsidR="0070536B" w:rsidRDefault="0070536B" w:rsidP="0070536B">
      <w:pPr>
        <w:pStyle w:val="ListParagraph"/>
        <w:rPr>
          <w:bCs/>
        </w:rPr>
      </w:pPr>
    </w:p>
    <w:p w14:paraId="77DF0784" w14:textId="6CEFCE36" w:rsidR="00DA58BB" w:rsidRDefault="00DA58BB" w:rsidP="00DA58BB">
      <w:pPr>
        <w:pStyle w:val="Heading2"/>
      </w:pPr>
      <w:bookmarkStart w:id="9" w:name="_Toc114650826"/>
      <w:r w:rsidRPr="00424E6D">
        <w:t xml:space="preserve">Building Risk by Flood </w:t>
      </w:r>
      <w:r>
        <w:t>Zone</w:t>
      </w:r>
      <w:bookmarkEnd w:id="9"/>
    </w:p>
    <w:p w14:paraId="73354B4A" w14:textId="59256AEC" w:rsidR="00276C30" w:rsidRDefault="001C3437" w:rsidP="00424E6D">
      <w:r w:rsidRPr="001C3437">
        <w:t>Buildings are inventoried</w:t>
      </w:r>
      <w:r>
        <w:t xml:space="preserve"> for high-risk effective and advisory 1%-annual chance floodplains.  Counties with the highest building counts in the Special Flood Hazard Area </w:t>
      </w:r>
      <w:r w:rsidR="00D11A62">
        <w:t xml:space="preserve">(SFHA) </w:t>
      </w:r>
      <w:r>
        <w:t xml:space="preserve">are Greenbrier (1,481) and Fayette (1,219) counties.  </w:t>
      </w:r>
      <w:r w:rsidR="00D11A62">
        <w:t xml:space="preserve">Buildings in the Approximate A Zone (2,598) studies </w:t>
      </w:r>
      <w:r w:rsidR="00276C30">
        <w:t xml:space="preserve">and Detailed AE Zone studies (2,888) </w:t>
      </w:r>
      <w:r w:rsidR="00D11A62">
        <w:t>comprise 4</w:t>
      </w:r>
      <w:r w:rsidR="00276C30">
        <w:t>7</w:t>
      </w:r>
      <w:r w:rsidR="00D11A62">
        <w:t xml:space="preserve">% </w:t>
      </w:r>
      <w:r w:rsidR="00276C30">
        <w:t xml:space="preserve">and 53%, respectively, </w:t>
      </w:r>
      <w:r w:rsidR="00D11A62">
        <w:t>of all buildings mapped in the SFHA</w:t>
      </w:r>
      <w:r w:rsidR="00276C30">
        <w:t xml:space="preserve">.  Greenbrier (165) and Nicholas (150) counties have the most buildings in the regulatory floodway, </w:t>
      </w:r>
      <w:r w:rsidR="00276C30" w:rsidRPr="00276C30">
        <w:t>the main channel of the river or stream where floodwaters are likely the deepest and with highest velocities.</w:t>
      </w:r>
    </w:p>
    <w:p w14:paraId="02944F18" w14:textId="5C815CA8" w:rsidR="00A769E5" w:rsidRPr="004727B1" w:rsidRDefault="004727B1" w:rsidP="00A769E5">
      <w:pPr>
        <w:rPr>
          <w:i/>
        </w:rPr>
      </w:pPr>
      <w:r>
        <w:t xml:space="preserve">Counties </w:t>
      </w:r>
      <w:r w:rsidR="00A769E5">
        <w:t>with the highest number of structures in both the effective and advisory floodplains are Greenbrier (2</w:t>
      </w:r>
      <w:r>
        <w:t>,</w:t>
      </w:r>
      <w:r w:rsidR="00A769E5">
        <w:t>225) and Fayette (1</w:t>
      </w:r>
      <w:r>
        <w:t>,</w:t>
      </w:r>
      <w:r w:rsidR="00A769E5">
        <w:t>819) counties.</w:t>
      </w:r>
      <w:r>
        <w:t xml:space="preserve">  </w:t>
      </w:r>
      <w:r w:rsidR="00A769E5">
        <w:rPr>
          <w:b/>
          <w:bCs/>
        </w:rPr>
        <w:t xml:space="preserve">Webster </w:t>
      </w:r>
      <w:r w:rsidR="00A769E5" w:rsidRPr="00385ED1">
        <w:rPr>
          <w:b/>
          <w:bCs/>
        </w:rPr>
        <w:t>Unincorporated</w:t>
      </w:r>
      <w:r w:rsidR="00A769E5" w:rsidRPr="00385ED1">
        <w:rPr>
          <w:bCs/>
        </w:rPr>
        <w:t xml:space="preserve"> </w:t>
      </w:r>
      <w:r>
        <w:rPr>
          <w:bCs/>
        </w:rPr>
        <w:t xml:space="preserve">(119) </w:t>
      </w:r>
      <w:r w:rsidR="00A769E5" w:rsidRPr="00385ED1">
        <w:t xml:space="preserve">and </w:t>
      </w:r>
      <w:r w:rsidR="00A769E5" w:rsidRPr="00385ED1">
        <w:rPr>
          <w:b/>
          <w:bCs/>
        </w:rPr>
        <w:t>Richwood Incorporated</w:t>
      </w:r>
      <w:r w:rsidR="00A769E5">
        <w:rPr>
          <w:b/>
          <w:bCs/>
        </w:rPr>
        <w:t xml:space="preserve"> </w:t>
      </w:r>
      <w:r w:rsidRPr="004727B1">
        <w:rPr>
          <w:bCs/>
        </w:rPr>
        <w:t>(109)</w:t>
      </w:r>
      <w:r w:rsidR="00A769E5" w:rsidRPr="004727B1">
        <w:rPr>
          <w:bCs/>
        </w:rPr>
        <w:t xml:space="preserve"> </w:t>
      </w:r>
      <w:r w:rsidR="00A769E5" w:rsidRPr="00385ED1">
        <w:t>have the most structures in the floodway.</w:t>
      </w:r>
      <w:r>
        <w:t xml:space="preserve">  </w:t>
      </w:r>
      <w:r w:rsidR="00A769E5" w:rsidRPr="004727B1">
        <w:rPr>
          <w:i/>
        </w:rPr>
        <w:t xml:space="preserve">Buildings in the main </w:t>
      </w:r>
      <w:r w:rsidRPr="004727B1">
        <w:rPr>
          <w:i/>
        </w:rPr>
        <w:t xml:space="preserve">floodway </w:t>
      </w:r>
      <w:r w:rsidR="00A769E5" w:rsidRPr="004727B1">
        <w:rPr>
          <w:i/>
        </w:rPr>
        <w:t xml:space="preserve">channel of the river or stream, or close to the flood source, will be subject to the greatest flood depths, highest velocities, and greatest debris potential. </w:t>
      </w:r>
    </w:p>
    <w:p w14:paraId="1AE95285" w14:textId="5AA2BC9B" w:rsidR="001C3437" w:rsidRDefault="001C3437" w:rsidP="00424E6D">
      <w:pPr>
        <w:rPr>
          <w:b/>
        </w:rPr>
      </w:pPr>
    </w:p>
    <w:p w14:paraId="302A5F8D" w14:textId="6C49FDDE" w:rsidR="004727B1" w:rsidRPr="00C000AB" w:rsidRDefault="004727B1" w:rsidP="00C000AB">
      <w:pPr>
        <w:spacing w:after="0"/>
      </w:pPr>
      <w:r>
        <w:rPr>
          <w:b/>
        </w:rPr>
        <w:t xml:space="preserve">Table 1.  </w:t>
      </w:r>
      <w:r w:rsidRPr="00C000AB">
        <w:t xml:space="preserve">Building Count </w:t>
      </w:r>
      <w:r w:rsidR="00C000AB" w:rsidRPr="00C000AB">
        <w:t>Breakdown</w:t>
      </w:r>
      <w:r w:rsidRPr="00C000AB">
        <w:t xml:space="preserve"> by Special Flood Hazard Area (SFHA)</w:t>
      </w:r>
      <w:r w:rsidR="00C000AB" w:rsidRPr="00C000AB">
        <w:t xml:space="preserve">. </w:t>
      </w:r>
    </w:p>
    <w:tbl>
      <w:tblPr>
        <w:tblW w:w="9350" w:type="dxa"/>
        <w:tblInd w:w="-10" w:type="dxa"/>
        <w:tblLook w:val="04A0" w:firstRow="1" w:lastRow="0" w:firstColumn="1" w:lastColumn="0" w:noHBand="0" w:noVBand="1"/>
      </w:tblPr>
      <w:tblGrid>
        <w:gridCol w:w="1980"/>
        <w:gridCol w:w="1080"/>
        <w:gridCol w:w="996"/>
        <w:gridCol w:w="1175"/>
        <w:gridCol w:w="959"/>
        <w:gridCol w:w="856"/>
        <w:gridCol w:w="966"/>
        <w:gridCol w:w="1338"/>
      </w:tblGrid>
      <w:tr w:rsidR="00DA58BB" w:rsidRPr="00FA2147" w14:paraId="4B5C4AD0" w14:textId="77777777" w:rsidTr="00C000AB">
        <w:trPr>
          <w:trHeight w:val="300"/>
        </w:trPr>
        <w:tc>
          <w:tcPr>
            <w:tcW w:w="9350" w:type="dxa"/>
            <w:gridSpan w:val="8"/>
            <w:tcBorders>
              <w:top w:val="single" w:sz="8" w:space="0" w:color="auto"/>
              <w:left w:val="single" w:sz="8" w:space="0" w:color="auto"/>
              <w:bottom w:val="nil"/>
              <w:right w:val="single" w:sz="8" w:space="0" w:color="000000"/>
            </w:tcBorders>
          </w:tcPr>
          <w:p w14:paraId="54C6028A" w14:textId="68066E6B" w:rsidR="00DA58BB" w:rsidRPr="00DA58BB" w:rsidRDefault="00DA58BB" w:rsidP="00FA2147">
            <w:pPr>
              <w:spacing w:after="0" w:line="240" w:lineRule="auto"/>
              <w:jc w:val="center"/>
              <w:rPr>
                <w:rFonts w:ascii="Calibri" w:eastAsia="Times New Roman" w:hAnsi="Calibri" w:cs="Calibri"/>
                <w:b/>
                <w:bCs/>
                <w:color w:val="000000"/>
                <w:sz w:val="20"/>
                <w:szCs w:val="20"/>
              </w:rPr>
            </w:pPr>
            <w:r w:rsidRPr="00DA58BB">
              <w:rPr>
                <w:rFonts w:ascii="Calibri" w:eastAsia="Times New Roman" w:hAnsi="Calibri" w:cs="Calibri"/>
                <w:b/>
                <w:bCs/>
                <w:color w:val="000000"/>
                <w:sz w:val="20"/>
                <w:szCs w:val="20"/>
              </w:rPr>
              <w:t>SFHA BREAKDOWN (Effective Only)</w:t>
            </w:r>
          </w:p>
        </w:tc>
      </w:tr>
      <w:tr w:rsidR="00FA2147" w:rsidRPr="00FA2147" w14:paraId="7F699671" w14:textId="77777777" w:rsidTr="00DA58BB">
        <w:trPr>
          <w:trHeight w:val="495"/>
        </w:trPr>
        <w:tc>
          <w:tcPr>
            <w:tcW w:w="1980" w:type="dxa"/>
            <w:tcBorders>
              <w:top w:val="single" w:sz="4" w:space="0" w:color="auto"/>
              <w:left w:val="single" w:sz="8" w:space="0" w:color="auto"/>
              <w:bottom w:val="nil"/>
              <w:right w:val="single" w:sz="4" w:space="0" w:color="auto"/>
            </w:tcBorders>
            <w:shd w:val="clear" w:color="auto" w:fill="F2F2F2" w:themeFill="background1" w:themeFillShade="F2"/>
            <w:vAlign w:val="center"/>
          </w:tcPr>
          <w:p w14:paraId="2B8D57E6" w14:textId="16C31BE3" w:rsidR="00FA2147" w:rsidRPr="00DA58BB" w:rsidRDefault="00DA58BB" w:rsidP="00DA58BB">
            <w:pPr>
              <w:spacing w:after="0" w:line="240" w:lineRule="auto"/>
              <w:rPr>
                <w:rFonts w:ascii="Calibri" w:eastAsia="Times New Roman" w:hAnsi="Calibri" w:cs="Calibri"/>
                <w:color w:val="000000"/>
                <w:sz w:val="20"/>
                <w:szCs w:val="20"/>
              </w:rPr>
            </w:pPr>
            <w:r w:rsidRPr="00DA58BB">
              <w:rPr>
                <w:rFonts w:ascii="Calibri" w:eastAsia="Times New Roman" w:hAnsi="Calibri" w:cs="Calibri"/>
                <w:color w:val="000000"/>
                <w:sz w:val="20"/>
                <w:szCs w:val="20"/>
              </w:rPr>
              <w:t>County</w:t>
            </w:r>
          </w:p>
        </w:tc>
        <w:tc>
          <w:tcPr>
            <w:tcW w:w="1080" w:type="dxa"/>
            <w:tcBorders>
              <w:top w:val="single" w:sz="4" w:space="0" w:color="auto"/>
              <w:left w:val="single" w:sz="8" w:space="0" w:color="auto"/>
              <w:bottom w:val="nil"/>
              <w:right w:val="single" w:sz="4" w:space="0" w:color="auto"/>
            </w:tcBorders>
            <w:shd w:val="clear" w:color="000000" w:fill="DCE6F1"/>
            <w:vAlign w:val="center"/>
            <w:hideMark/>
          </w:tcPr>
          <w:p w14:paraId="2EAEEFDF" w14:textId="209C69A3"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Approx. A</w:t>
            </w:r>
          </w:p>
        </w:tc>
        <w:tc>
          <w:tcPr>
            <w:tcW w:w="996" w:type="dxa"/>
            <w:tcBorders>
              <w:top w:val="single" w:sz="4" w:space="0" w:color="auto"/>
              <w:left w:val="nil"/>
              <w:bottom w:val="nil"/>
              <w:right w:val="single" w:sz="4" w:space="0" w:color="auto"/>
            </w:tcBorders>
            <w:shd w:val="clear" w:color="000000" w:fill="B8CCE4"/>
            <w:noWrap/>
            <w:vAlign w:val="center"/>
            <w:hideMark/>
          </w:tcPr>
          <w:p w14:paraId="0834FD7B"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AE</w:t>
            </w:r>
          </w:p>
        </w:tc>
        <w:tc>
          <w:tcPr>
            <w:tcW w:w="1175" w:type="dxa"/>
            <w:tcBorders>
              <w:top w:val="single" w:sz="4" w:space="0" w:color="auto"/>
              <w:left w:val="nil"/>
              <w:bottom w:val="nil"/>
              <w:right w:val="single" w:sz="4" w:space="0" w:color="auto"/>
            </w:tcBorders>
            <w:shd w:val="clear" w:color="000000" w:fill="B8CCE4"/>
            <w:noWrap/>
            <w:vAlign w:val="center"/>
            <w:hideMark/>
          </w:tcPr>
          <w:p w14:paraId="73ED0563"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Floodway</w:t>
            </w:r>
          </w:p>
        </w:tc>
        <w:tc>
          <w:tcPr>
            <w:tcW w:w="959" w:type="dxa"/>
            <w:tcBorders>
              <w:top w:val="single" w:sz="4" w:space="0" w:color="auto"/>
              <w:left w:val="nil"/>
              <w:bottom w:val="nil"/>
              <w:right w:val="single" w:sz="4" w:space="0" w:color="auto"/>
            </w:tcBorders>
            <w:shd w:val="clear" w:color="000000" w:fill="B8CCE4"/>
            <w:noWrap/>
            <w:vAlign w:val="center"/>
            <w:hideMark/>
          </w:tcPr>
          <w:p w14:paraId="66F49F86"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AO</w:t>
            </w:r>
          </w:p>
        </w:tc>
        <w:tc>
          <w:tcPr>
            <w:tcW w:w="856" w:type="dxa"/>
            <w:tcBorders>
              <w:top w:val="single" w:sz="4" w:space="0" w:color="auto"/>
              <w:left w:val="nil"/>
              <w:bottom w:val="nil"/>
              <w:right w:val="single" w:sz="4" w:space="0" w:color="auto"/>
            </w:tcBorders>
            <w:shd w:val="clear" w:color="000000" w:fill="B8CCE4"/>
            <w:noWrap/>
            <w:vAlign w:val="center"/>
            <w:hideMark/>
          </w:tcPr>
          <w:p w14:paraId="5198BB8F"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AH</w:t>
            </w:r>
          </w:p>
        </w:tc>
        <w:tc>
          <w:tcPr>
            <w:tcW w:w="966" w:type="dxa"/>
            <w:tcBorders>
              <w:top w:val="single" w:sz="4" w:space="0" w:color="auto"/>
              <w:left w:val="nil"/>
              <w:bottom w:val="nil"/>
              <w:right w:val="single" w:sz="4" w:space="0" w:color="auto"/>
            </w:tcBorders>
            <w:shd w:val="clear" w:color="000000" w:fill="B8CCE4"/>
            <w:vAlign w:val="center"/>
            <w:hideMark/>
          </w:tcPr>
          <w:p w14:paraId="6B603BA8"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Detailed Sum</w:t>
            </w:r>
          </w:p>
        </w:tc>
        <w:tc>
          <w:tcPr>
            <w:tcW w:w="1338" w:type="dxa"/>
            <w:tcBorders>
              <w:top w:val="single" w:sz="4" w:space="0" w:color="auto"/>
              <w:left w:val="nil"/>
              <w:bottom w:val="nil"/>
              <w:right w:val="single" w:sz="8" w:space="0" w:color="auto"/>
            </w:tcBorders>
            <w:shd w:val="clear" w:color="auto" w:fill="F2F2F2" w:themeFill="background1" w:themeFillShade="F2"/>
            <w:vAlign w:val="center"/>
            <w:hideMark/>
          </w:tcPr>
          <w:p w14:paraId="65DD8CA6" w14:textId="77777777" w:rsidR="00FA2147" w:rsidRPr="00DA58BB" w:rsidRDefault="00FA2147" w:rsidP="001C343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Sum Effective</w:t>
            </w:r>
          </w:p>
        </w:tc>
      </w:tr>
      <w:tr w:rsidR="00FA2147" w:rsidRPr="00FA2147" w14:paraId="2A89D3CF" w14:textId="77777777" w:rsidTr="00DA58BB">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CD5B4"/>
            <w:vAlign w:val="center"/>
          </w:tcPr>
          <w:p w14:paraId="75197546" w14:textId="7D8E0F05"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FAYETTE</w:t>
            </w:r>
          </w:p>
        </w:tc>
        <w:tc>
          <w:tcPr>
            <w:tcW w:w="1080" w:type="dxa"/>
            <w:tcBorders>
              <w:top w:val="single" w:sz="4" w:space="0" w:color="auto"/>
              <w:left w:val="single" w:sz="4" w:space="0" w:color="auto"/>
              <w:bottom w:val="single" w:sz="4" w:space="0" w:color="auto"/>
              <w:right w:val="single" w:sz="4" w:space="0" w:color="auto"/>
            </w:tcBorders>
            <w:shd w:val="clear" w:color="000000" w:fill="FCD5B4"/>
            <w:noWrap/>
            <w:vAlign w:val="center"/>
            <w:hideMark/>
          </w:tcPr>
          <w:p w14:paraId="75FE9261" w14:textId="6871E98B"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752</w:t>
            </w:r>
          </w:p>
        </w:tc>
        <w:tc>
          <w:tcPr>
            <w:tcW w:w="996" w:type="dxa"/>
            <w:tcBorders>
              <w:top w:val="single" w:sz="4" w:space="0" w:color="auto"/>
              <w:left w:val="nil"/>
              <w:bottom w:val="single" w:sz="4" w:space="0" w:color="auto"/>
              <w:right w:val="single" w:sz="4" w:space="0" w:color="auto"/>
            </w:tcBorders>
            <w:shd w:val="clear" w:color="000000" w:fill="FCD5B4"/>
            <w:noWrap/>
            <w:vAlign w:val="center"/>
            <w:hideMark/>
          </w:tcPr>
          <w:p w14:paraId="42427ED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410</w:t>
            </w:r>
          </w:p>
        </w:tc>
        <w:tc>
          <w:tcPr>
            <w:tcW w:w="1175" w:type="dxa"/>
            <w:tcBorders>
              <w:top w:val="single" w:sz="4" w:space="0" w:color="auto"/>
              <w:left w:val="nil"/>
              <w:bottom w:val="single" w:sz="4" w:space="0" w:color="auto"/>
              <w:right w:val="single" w:sz="4" w:space="0" w:color="auto"/>
            </w:tcBorders>
            <w:shd w:val="clear" w:color="000000" w:fill="FCD5B4"/>
            <w:noWrap/>
            <w:vAlign w:val="center"/>
            <w:hideMark/>
          </w:tcPr>
          <w:p w14:paraId="0C08AB4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57</w:t>
            </w:r>
          </w:p>
        </w:tc>
        <w:tc>
          <w:tcPr>
            <w:tcW w:w="959" w:type="dxa"/>
            <w:tcBorders>
              <w:top w:val="single" w:sz="4" w:space="0" w:color="auto"/>
              <w:left w:val="nil"/>
              <w:bottom w:val="single" w:sz="4" w:space="0" w:color="auto"/>
              <w:right w:val="single" w:sz="4" w:space="0" w:color="auto"/>
            </w:tcBorders>
            <w:shd w:val="clear" w:color="000000" w:fill="FCD5B4"/>
            <w:noWrap/>
            <w:vAlign w:val="center"/>
            <w:hideMark/>
          </w:tcPr>
          <w:p w14:paraId="439FFDA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single" w:sz="4" w:space="0" w:color="auto"/>
              <w:left w:val="nil"/>
              <w:bottom w:val="single" w:sz="4" w:space="0" w:color="auto"/>
              <w:right w:val="single" w:sz="4" w:space="0" w:color="auto"/>
            </w:tcBorders>
            <w:shd w:val="clear" w:color="000000" w:fill="FCD5B4"/>
            <w:noWrap/>
            <w:vAlign w:val="center"/>
            <w:hideMark/>
          </w:tcPr>
          <w:p w14:paraId="6BD33D0B"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single" w:sz="4" w:space="0" w:color="auto"/>
              <w:left w:val="nil"/>
              <w:bottom w:val="single" w:sz="4" w:space="0" w:color="auto"/>
              <w:right w:val="single" w:sz="4" w:space="0" w:color="auto"/>
            </w:tcBorders>
            <w:shd w:val="clear" w:color="000000" w:fill="FCD5B4"/>
            <w:noWrap/>
            <w:vAlign w:val="center"/>
            <w:hideMark/>
          </w:tcPr>
          <w:p w14:paraId="21D9CA7B"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467</w:t>
            </w:r>
          </w:p>
        </w:tc>
        <w:tc>
          <w:tcPr>
            <w:tcW w:w="1338" w:type="dxa"/>
            <w:tcBorders>
              <w:top w:val="single" w:sz="4" w:space="0" w:color="auto"/>
              <w:left w:val="nil"/>
              <w:bottom w:val="single" w:sz="4" w:space="0" w:color="auto"/>
              <w:right w:val="single" w:sz="4" w:space="0" w:color="auto"/>
            </w:tcBorders>
            <w:shd w:val="clear" w:color="000000" w:fill="FCD5B4"/>
            <w:noWrap/>
            <w:vAlign w:val="center"/>
            <w:hideMark/>
          </w:tcPr>
          <w:p w14:paraId="3B399159"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1219</w:t>
            </w:r>
          </w:p>
        </w:tc>
      </w:tr>
      <w:tr w:rsidR="00FA2147" w:rsidRPr="00FA2147" w14:paraId="42923242" w14:textId="77777777" w:rsidTr="00DA58BB">
        <w:trPr>
          <w:trHeight w:val="300"/>
        </w:trPr>
        <w:tc>
          <w:tcPr>
            <w:tcW w:w="1980" w:type="dxa"/>
            <w:tcBorders>
              <w:top w:val="nil"/>
              <w:left w:val="single" w:sz="4" w:space="0" w:color="auto"/>
              <w:bottom w:val="single" w:sz="4" w:space="0" w:color="auto"/>
              <w:right w:val="single" w:sz="4" w:space="0" w:color="auto"/>
            </w:tcBorders>
            <w:shd w:val="clear" w:color="000000" w:fill="FCD5B4"/>
            <w:vAlign w:val="center"/>
          </w:tcPr>
          <w:p w14:paraId="7700D9F1" w14:textId="06018E70"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GREENBRIER</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048F62D3" w14:textId="6CB50154"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679</w:t>
            </w:r>
          </w:p>
        </w:tc>
        <w:tc>
          <w:tcPr>
            <w:tcW w:w="996" w:type="dxa"/>
            <w:tcBorders>
              <w:top w:val="nil"/>
              <w:left w:val="nil"/>
              <w:bottom w:val="single" w:sz="4" w:space="0" w:color="auto"/>
              <w:right w:val="single" w:sz="4" w:space="0" w:color="auto"/>
            </w:tcBorders>
            <w:shd w:val="clear" w:color="000000" w:fill="FCD5B4"/>
            <w:noWrap/>
            <w:vAlign w:val="center"/>
            <w:hideMark/>
          </w:tcPr>
          <w:p w14:paraId="0BCEFC17"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637</w:t>
            </w:r>
          </w:p>
        </w:tc>
        <w:tc>
          <w:tcPr>
            <w:tcW w:w="1175" w:type="dxa"/>
            <w:tcBorders>
              <w:top w:val="nil"/>
              <w:left w:val="nil"/>
              <w:bottom w:val="single" w:sz="4" w:space="0" w:color="auto"/>
              <w:right w:val="single" w:sz="4" w:space="0" w:color="auto"/>
            </w:tcBorders>
            <w:shd w:val="clear" w:color="000000" w:fill="FCD5B4"/>
            <w:noWrap/>
            <w:vAlign w:val="center"/>
            <w:hideMark/>
          </w:tcPr>
          <w:p w14:paraId="1EA9C41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165</w:t>
            </w:r>
          </w:p>
        </w:tc>
        <w:tc>
          <w:tcPr>
            <w:tcW w:w="959" w:type="dxa"/>
            <w:tcBorders>
              <w:top w:val="nil"/>
              <w:left w:val="nil"/>
              <w:bottom w:val="single" w:sz="4" w:space="0" w:color="auto"/>
              <w:right w:val="single" w:sz="4" w:space="0" w:color="auto"/>
            </w:tcBorders>
            <w:shd w:val="clear" w:color="000000" w:fill="FCD5B4"/>
            <w:noWrap/>
            <w:vAlign w:val="center"/>
            <w:hideMark/>
          </w:tcPr>
          <w:p w14:paraId="71D56A7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23635B7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35B78E5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802</w:t>
            </w:r>
          </w:p>
        </w:tc>
        <w:tc>
          <w:tcPr>
            <w:tcW w:w="1338" w:type="dxa"/>
            <w:tcBorders>
              <w:top w:val="nil"/>
              <w:left w:val="nil"/>
              <w:bottom w:val="single" w:sz="4" w:space="0" w:color="auto"/>
              <w:right w:val="single" w:sz="4" w:space="0" w:color="auto"/>
            </w:tcBorders>
            <w:shd w:val="clear" w:color="000000" w:fill="FCD5B4"/>
            <w:noWrap/>
            <w:vAlign w:val="center"/>
            <w:hideMark/>
          </w:tcPr>
          <w:p w14:paraId="5DDB567F"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1481</w:t>
            </w:r>
          </w:p>
        </w:tc>
      </w:tr>
      <w:tr w:rsidR="00FA2147" w:rsidRPr="00FA2147" w14:paraId="7F3C7264" w14:textId="77777777" w:rsidTr="00DA58BB">
        <w:trPr>
          <w:trHeight w:val="278"/>
        </w:trPr>
        <w:tc>
          <w:tcPr>
            <w:tcW w:w="1980" w:type="dxa"/>
            <w:tcBorders>
              <w:top w:val="nil"/>
              <w:left w:val="single" w:sz="4" w:space="0" w:color="auto"/>
              <w:bottom w:val="single" w:sz="4" w:space="0" w:color="auto"/>
              <w:right w:val="single" w:sz="4" w:space="0" w:color="auto"/>
            </w:tcBorders>
            <w:shd w:val="clear" w:color="000000" w:fill="FCD5B4"/>
            <w:vAlign w:val="center"/>
          </w:tcPr>
          <w:p w14:paraId="392F55E7" w14:textId="0D8DF2D8"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NICHOLAS</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7D9EEBEF" w14:textId="76B5D813"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591</w:t>
            </w:r>
          </w:p>
        </w:tc>
        <w:tc>
          <w:tcPr>
            <w:tcW w:w="996" w:type="dxa"/>
            <w:tcBorders>
              <w:top w:val="nil"/>
              <w:left w:val="nil"/>
              <w:bottom w:val="single" w:sz="4" w:space="0" w:color="auto"/>
              <w:right w:val="single" w:sz="4" w:space="0" w:color="auto"/>
            </w:tcBorders>
            <w:shd w:val="clear" w:color="000000" w:fill="FCD5B4"/>
            <w:noWrap/>
            <w:vAlign w:val="center"/>
            <w:hideMark/>
          </w:tcPr>
          <w:p w14:paraId="54CE277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260</w:t>
            </w:r>
          </w:p>
        </w:tc>
        <w:tc>
          <w:tcPr>
            <w:tcW w:w="1175" w:type="dxa"/>
            <w:tcBorders>
              <w:top w:val="nil"/>
              <w:left w:val="nil"/>
              <w:bottom w:val="single" w:sz="4" w:space="0" w:color="auto"/>
              <w:right w:val="single" w:sz="4" w:space="0" w:color="auto"/>
            </w:tcBorders>
            <w:shd w:val="clear" w:color="000000" w:fill="FCD5B4"/>
            <w:noWrap/>
            <w:vAlign w:val="center"/>
            <w:hideMark/>
          </w:tcPr>
          <w:p w14:paraId="03CD9D09"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150</w:t>
            </w:r>
          </w:p>
        </w:tc>
        <w:tc>
          <w:tcPr>
            <w:tcW w:w="959" w:type="dxa"/>
            <w:tcBorders>
              <w:top w:val="nil"/>
              <w:left w:val="nil"/>
              <w:bottom w:val="single" w:sz="4" w:space="0" w:color="auto"/>
              <w:right w:val="single" w:sz="4" w:space="0" w:color="auto"/>
            </w:tcBorders>
            <w:shd w:val="clear" w:color="000000" w:fill="FCD5B4"/>
            <w:noWrap/>
            <w:vAlign w:val="center"/>
            <w:hideMark/>
          </w:tcPr>
          <w:p w14:paraId="020E25B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73C95682"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0E08BD8E"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410</w:t>
            </w:r>
          </w:p>
        </w:tc>
        <w:tc>
          <w:tcPr>
            <w:tcW w:w="1338" w:type="dxa"/>
            <w:tcBorders>
              <w:top w:val="nil"/>
              <w:left w:val="nil"/>
              <w:bottom w:val="single" w:sz="4" w:space="0" w:color="auto"/>
              <w:right w:val="single" w:sz="4" w:space="0" w:color="auto"/>
            </w:tcBorders>
            <w:shd w:val="clear" w:color="000000" w:fill="FCD5B4"/>
            <w:noWrap/>
            <w:vAlign w:val="center"/>
            <w:hideMark/>
          </w:tcPr>
          <w:p w14:paraId="005CB29A"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1001</w:t>
            </w:r>
          </w:p>
        </w:tc>
      </w:tr>
      <w:tr w:rsidR="00FA2147" w:rsidRPr="00FA2147" w14:paraId="7CA9C2AD" w14:textId="77777777" w:rsidTr="00DA58BB">
        <w:trPr>
          <w:trHeight w:val="269"/>
        </w:trPr>
        <w:tc>
          <w:tcPr>
            <w:tcW w:w="1980" w:type="dxa"/>
            <w:tcBorders>
              <w:top w:val="nil"/>
              <w:left w:val="single" w:sz="4" w:space="0" w:color="auto"/>
              <w:bottom w:val="single" w:sz="4" w:space="0" w:color="auto"/>
              <w:right w:val="single" w:sz="4" w:space="0" w:color="auto"/>
            </w:tcBorders>
            <w:shd w:val="clear" w:color="000000" w:fill="FCD5B4"/>
            <w:vAlign w:val="center"/>
          </w:tcPr>
          <w:p w14:paraId="469E82F2" w14:textId="26E89B44"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POCAHONTAS</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4CFD6C3A" w14:textId="67FF424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299</w:t>
            </w:r>
          </w:p>
        </w:tc>
        <w:tc>
          <w:tcPr>
            <w:tcW w:w="996" w:type="dxa"/>
            <w:tcBorders>
              <w:top w:val="nil"/>
              <w:left w:val="nil"/>
              <w:bottom w:val="single" w:sz="4" w:space="0" w:color="auto"/>
              <w:right w:val="single" w:sz="4" w:space="0" w:color="auto"/>
            </w:tcBorders>
            <w:shd w:val="clear" w:color="000000" w:fill="FCD5B4"/>
            <w:noWrap/>
            <w:vAlign w:val="center"/>
            <w:hideMark/>
          </w:tcPr>
          <w:p w14:paraId="312DC5B6"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413</w:t>
            </w:r>
          </w:p>
        </w:tc>
        <w:tc>
          <w:tcPr>
            <w:tcW w:w="1175" w:type="dxa"/>
            <w:tcBorders>
              <w:top w:val="nil"/>
              <w:left w:val="nil"/>
              <w:bottom w:val="single" w:sz="4" w:space="0" w:color="auto"/>
              <w:right w:val="single" w:sz="4" w:space="0" w:color="auto"/>
            </w:tcBorders>
            <w:shd w:val="clear" w:color="000000" w:fill="FCD5B4"/>
            <w:noWrap/>
            <w:vAlign w:val="center"/>
            <w:hideMark/>
          </w:tcPr>
          <w:p w14:paraId="4406AC63"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69</w:t>
            </w:r>
          </w:p>
        </w:tc>
        <w:tc>
          <w:tcPr>
            <w:tcW w:w="959" w:type="dxa"/>
            <w:tcBorders>
              <w:top w:val="nil"/>
              <w:left w:val="nil"/>
              <w:bottom w:val="single" w:sz="4" w:space="0" w:color="auto"/>
              <w:right w:val="single" w:sz="4" w:space="0" w:color="auto"/>
            </w:tcBorders>
            <w:shd w:val="clear" w:color="000000" w:fill="FCD5B4"/>
            <w:noWrap/>
            <w:vAlign w:val="center"/>
            <w:hideMark/>
          </w:tcPr>
          <w:p w14:paraId="4F10209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38BE22E8"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714DFC0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482</w:t>
            </w:r>
          </w:p>
        </w:tc>
        <w:tc>
          <w:tcPr>
            <w:tcW w:w="1338" w:type="dxa"/>
            <w:tcBorders>
              <w:top w:val="nil"/>
              <w:left w:val="nil"/>
              <w:bottom w:val="single" w:sz="4" w:space="0" w:color="auto"/>
              <w:right w:val="single" w:sz="4" w:space="0" w:color="auto"/>
            </w:tcBorders>
            <w:shd w:val="clear" w:color="000000" w:fill="FCD5B4"/>
            <w:noWrap/>
            <w:vAlign w:val="center"/>
            <w:hideMark/>
          </w:tcPr>
          <w:p w14:paraId="57CA0835"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781</w:t>
            </w:r>
          </w:p>
        </w:tc>
      </w:tr>
      <w:tr w:rsidR="00FA2147" w:rsidRPr="00FA2147" w14:paraId="70DCDCEC" w14:textId="77777777" w:rsidTr="00DA58BB">
        <w:trPr>
          <w:trHeight w:val="300"/>
        </w:trPr>
        <w:tc>
          <w:tcPr>
            <w:tcW w:w="1980" w:type="dxa"/>
            <w:tcBorders>
              <w:top w:val="nil"/>
              <w:left w:val="single" w:sz="4" w:space="0" w:color="auto"/>
              <w:bottom w:val="single" w:sz="4" w:space="0" w:color="auto"/>
              <w:right w:val="single" w:sz="4" w:space="0" w:color="auto"/>
            </w:tcBorders>
            <w:shd w:val="clear" w:color="000000" w:fill="FCD5B4"/>
            <w:vAlign w:val="center"/>
          </w:tcPr>
          <w:p w14:paraId="3DF98A8F" w14:textId="240D3190" w:rsidR="00FA2147" w:rsidRPr="00DA58BB" w:rsidRDefault="00FA2147" w:rsidP="00DA58BB">
            <w:pPr>
              <w:spacing w:after="0" w:line="240" w:lineRule="auto"/>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WEBSTER</w:t>
            </w:r>
          </w:p>
        </w:tc>
        <w:tc>
          <w:tcPr>
            <w:tcW w:w="1080" w:type="dxa"/>
            <w:tcBorders>
              <w:top w:val="nil"/>
              <w:left w:val="single" w:sz="4" w:space="0" w:color="auto"/>
              <w:bottom w:val="single" w:sz="4" w:space="0" w:color="auto"/>
              <w:right w:val="single" w:sz="4" w:space="0" w:color="auto"/>
            </w:tcBorders>
            <w:shd w:val="clear" w:color="000000" w:fill="FCD5B4"/>
            <w:noWrap/>
            <w:vAlign w:val="center"/>
            <w:hideMark/>
          </w:tcPr>
          <w:p w14:paraId="179E567E" w14:textId="4A125FFF"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277</w:t>
            </w:r>
          </w:p>
        </w:tc>
        <w:tc>
          <w:tcPr>
            <w:tcW w:w="996" w:type="dxa"/>
            <w:tcBorders>
              <w:top w:val="nil"/>
              <w:left w:val="nil"/>
              <w:bottom w:val="single" w:sz="4" w:space="0" w:color="auto"/>
              <w:right w:val="single" w:sz="4" w:space="0" w:color="auto"/>
            </w:tcBorders>
            <w:shd w:val="clear" w:color="000000" w:fill="FCD5B4"/>
            <w:noWrap/>
            <w:vAlign w:val="center"/>
            <w:hideMark/>
          </w:tcPr>
          <w:p w14:paraId="3068EC20"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586</w:t>
            </w:r>
          </w:p>
        </w:tc>
        <w:tc>
          <w:tcPr>
            <w:tcW w:w="1175" w:type="dxa"/>
            <w:tcBorders>
              <w:top w:val="nil"/>
              <w:left w:val="nil"/>
              <w:bottom w:val="single" w:sz="4" w:space="0" w:color="auto"/>
              <w:right w:val="single" w:sz="4" w:space="0" w:color="auto"/>
            </w:tcBorders>
            <w:shd w:val="clear" w:color="000000" w:fill="FCD5B4"/>
            <w:noWrap/>
            <w:vAlign w:val="center"/>
            <w:hideMark/>
          </w:tcPr>
          <w:p w14:paraId="443764F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141</w:t>
            </w:r>
          </w:p>
        </w:tc>
        <w:tc>
          <w:tcPr>
            <w:tcW w:w="959" w:type="dxa"/>
            <w:tcBorders>
              <w:top w:val="nil"/>
              <w:left w:val="nil"/>
              <w:bottom w:val="single" w:sz="4" w:space="0" w:color="auto"/>
              <w:right w:val="single" w:sz="4" w:space="0" w:color="auto"/>
            </w:tcBorders>
            <w:shd w:val="clear" w:color="000000" w:fill="FCD5B4"/>
            <w:noWrap/>
            <w:vAlign w:val="center"/>
            <w:hideMark/>
          </w:tcPr>
          <w:p w14:paraId="1C29FDD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856" w:type="dxa"/>
            <w:tcBorders>
              <w:top w:val="nil"/>
              <w:left w:val="nil"/>
              <w:bottom w:val="single" w:sz="4" w:space="0" w:color="auto"/>
              <w:right w:val="single" w:sz="4" w:space="0" w:color="auto"/>
            </w:tcBorders>
            <w:shd w:val="clear" w:color="000000" w:fill="FCD5B4"/>
            <w:noWrap/>
            <w:vAlign w:val="center"/>
            <w:hideMark/>
          </w:tcPr>
          <w:p w14:paraId="11FB5F2C"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0</w:t>
            </w:r>
          </w:p>
        </w:tc>
        <w:tc>
          <w:tcPr>
            <w:tcW w:w="966" w:type="dxa"/>
            <w:tcBorders>
              <w:top w:val="nil"/>
              <w:left w:val="nil"/>
              <w:bottom w:val="single" w:sz="4" w:space="0" w:color="auto"/>
              <w:right w:val="single" w:sz="4" w:space="0" w:color="auto"/>
            </w:tcBorders>
            <w:shd w:val="clear" w:color="000000" w:fill="FCD5B4"/>
            <w:noWrap/>
            <w:vAlign w:val="center"/>
            <w:hideMark/>
          </w:tcPr>
          <w:p w14:paraId="737ED474"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727</w:t>
            </w:r>
          </w:p>
        </w:tc>
        <w:tc>
          <w:tcPr>
            <w:tcW w:w="1338" w:type="dxa"/>
            <w:tcBorders>
              <w:top w:val="nil"/>
              <w:left w:val="nil"/>
              <w:bottom w:val="single" w:sz="4" w:space="0" w:color="auto"/>
              <w:right w:val="single" w:sz="4" w:space="0" w:color="auto"/>
            </w:tcBorders>
            <w:shd w:val="clear" w:color="000000" w:fill="FCD5B4"/>
            <w:noWrap/>
            <w:vAlign w:val="center"/>
            <w:hideMark/>
          </w:tcPr>
          <w:p w14:paraId="63A94C31" w14:textId="77777777" w:rsidR="00FA2147" w:rsidRPr="00DA58BB" w:rsidRDefault="00FA2147" w:rsidP="00DA58BB">
            <w:pPr>
              <w:spacing w:after="0" w:line="240" w:lineRule="auto"/>
              <w:jc w:val="center"/>
              <w:rPr>
                <w:rFonts w:ascii="Calibri" w:eastAsia="Times New Roman" w:hAnsi="Calibri" w:cs="Calibri"/>
                <w:bCs/>
                <w:color w:val="000000"/>
                <w:sz w:val="20"/>
                <w:szCs w:val="20"/>
              </w:rPr>
            </w:pPr>
            <w:r w:rsidRPr="00DA58BB">
              <w:rPr>
                <w:rFonts w:ascii="Calibri" w:eastAsia="Times New Roman" w:hAnsi="Calibri" w:cs="Calibri"/>
                <w:bCs/>
                <w:color w:val="000000"/>
                <w:sz w:val="20"/>
                <w:szCs w:val="20"/>
              </w:rPr>
              <w:t>1004</w:t>
            </w:r>
          </w:p>
        </w:tc>
      </w:tr>
      <w:tr w:rsidR="00FA2147" w:rsidRPr="00FA2147" w14:paraId="7DE0C65E" w14:textId="77777777" w:rsidTr="00FA2147">
        <w:trPr>
          <w:trHeight w:val="300"/>
        </w:trPr>
        <w:tc>
          <w:tcPr>
            <w:tcW w:w="1980" w:type="dxa"/>
            <w:tcBorders>
              <w:top w:val="nil"/>
              <w:left w:val="nil"/>
              <w:bottom w:val="nil"/>
              <w:right w:val="nil"/>
            </w:tcBorders>
          </w:tcPr>
          <w:p w14:paraId="67F530AC" w14:textId="77777777" w:rsidR="00FA2147" w:rsidRPr="00DA58BB" w:rsidRDefault="00FA2147" w:rsidP="00FA2147">
            <w:pPr>
              <w:spacing w:after="0" w:line="240" w:lineRule="auto"/>
              <w:jc w:val="center"/>
              <w:rPr>
                <w:rFonts w:ascii="Calibri" w:eastAsia="Times New Roman" w:hAnsi="Calibri" w:cs="Calibri"/>
                <w:color w:val="000000"/>
                <w:sz w:val="20"/>
                <w:szCs w:val="20"/>
              </w:rPr>
            </w:pPr>
          </w:p>
        </w:tc>
        <w:tc>
          <w:tcPr>
            <w:tcW w:w="1080" w:type="dxa"/>
            <w:tcBorders>
              <w:top w:val="nil"/>
              <w:left w:val="nil"/>
              <w:bottom w:val="nil"/>
              <w:right w:val="nil"/>
            </w:tcBorders>
            <w:shd w:val="clear" w:color="auto" w:fill="auto"/>
            <w:noWrap/>
            <w:vAlign w:val="bottom"/>
            <w:hideMark/>
          </w:tcPr>
          <w:p w14:paraId="641443DE" w14:textId="29457062"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2,598</w:t>
            </w:r>
          </w:p>
        </w:tc>
        <w:tc>
          <w:tcPr>
            <w:tcW w:w="996" w:type="dxa"/>
            <w:tcBorders>
              <w:top w:val="nil"/>
              <w:left w:val="nil"/>
              <w:bottom w:val="nil"/>
              <w:right w:val="nil"/>
            </w:tcBorders>
            <w:shd w:val="clear" w:color="auto" w:fill="auto"/>
            <w:noWrap/>
            <w:vAlign w:val="bottom"/>
            <w:hideMark/>
          </w:tcPr>
          <w:p w14:paraId="787C787B"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2,306</w:t>
            </w:r>
          </w:p>
        </w:tc>
        <w:tc>
          <w:tcPr>
            <w:tcW w:w="1175" w:type="dxa"/>
            <w:tcBorders>
              <w:top w:val="nil"/>
              <w:left w:val="nil"/>
              <w:bottom w:val="nil"/>
              <w:right w:val="nil"/>
            </w:tcBorders>
            <w:shd w:val="clear" w:color="auto" w:fill="auto"/>
            <w:noWrap/>
            <w:vAlign w:val="bottom"/>
            <w:hideMark/>
          </w:tcPr>
          <w:p w14:paraId="5A2708E8"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582</w:t>
            </w:r>
          </w:p>
        </w:tc>
        <w:tc>
          <w:tcPr>
            <w:tcW w:w="959" w:type="dxa"/>
            <w:tcBorders>
              <w:top w:val="nil"/>
              <w:left w:val="nil"/>
              <w:bottom w:val="nil"/>
              <w:right w:val="nil"/>
            </w:tcBorders>
            <w:shd w:val="clear" w:color="auto" w:fill="auto"/>
            <w:noWrap/>
            <w:vAlign w:val="bottom"/>
            <w:hideMark/>
          </w:tcPr>
          <w:p w14:paraId="268DA0CC"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0</w:t>
            </w:r>
          </w:p>
        </w:tc>
        <w:tc>
          <w:tcPr>
            <w:tcW w:w="856" w:type="dxa"/>
            <w:tcBorders>
              <w:top w:val="nil"/>
              <w:left w:val="nil"/>
              <w:bottom w:val="nil"/>
              <w:right w:val="nil"/>
            </w:tcBorders>
            <w:shd w:val="clear" w:color="auto" w:fill="auto"/>
            <w:noWrap/>
            <w:vAlign w:val="bottom"/>
            <w:hideMark/>
          </w:tcPr>
          <w:p w14:paraId="225E76E5"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0</w:t>
            </w:r>
          </w:p>
        </w:tc>
        <w:tc>
          <w:tcPr>
            <w:tcW w:w="966" w:type="dxa"/>
            <w:tcBorders>
              <w:top w:val="nil"/>
              <w:left w:val="nil"/>
              <w:bottom w:val="nil"/>
              <w:right w:val="nil"/>
            </w:tcBorders>
            <w:shd w:val="clear" w:color="auto" w:fill="auto"/>
            <w:noWrap/>
            <w:vAlign w:val="bottom"/>
            <w:hideMark/>
          </w:tcPr>
          <w:p w14:paraId="1D03FF4B"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2,888</w:t>
            </w:r>
          </w:p>
        </w:tc>
        <w:tc>
          <w:tcPr>
            <w:tcW w:w="1338" w:type="dxa"/>
            <w:tcBorders>
              <w:top w:val="nil"/>
              <w:left w:val="nil"/>
              <w:bottom w:val="nil"/>
              <w:right w:val="nil"/>
            </w:tcBorders>
            <w:shd w:val="clear" w:color="000000" w:fill="FFFF00"/>
            <w:noWrap/>
            <w:vAlign w:val="bottom"/>
            <w:hideMark/>
          </w:tcPr>
          <w:p w14:paraId="3D659A64" w14:textId="77777777" w:rsidR="00FA2147" w:rsidRPr="00DA58BB" w:rsidRDefault="00FA2147" w:rsidP="00FA2147">
            <w:pPr>
              <w:spacing w:after="0" w:line="240" w:lineRule="auto"/>
              <w:jc w:val="center"/>
              <w:rPr>
                <w:rFonts w:ascii="Calibri" w:eastAsia="Times New Roman" w:hAnsi="Calibri" w:cs="Calibri"/>
                <w:color w:val="000000"/>
                <w:sz w:val="20"/>
                <w:szCs w:val="20"/>
              </w:rPr>
            </w:pPr>
            <w:r w:rsidRPr="00DA58BB">
              <w:rPr>
                <w:rFonts w:ascii="Calibri" w:eastAsia="Times New Roman" w:hAnsi="Calibri" w:cs="Calibri"/>
                <w:color w:val="000000"/>
                <w:sz w:val="20"/>
                <w:szCs w:val="20"/>
              </w:rPr>
              <w:t>5,486</w:t>
            </w:r>
          </w:p>
        </w:tc>
      </w:tr>
    </w:tbl>
    <w:p w14:paraId="6509E99B" w14:textId="652E5487" w:rsidR="00FA2147" w:rsidRDefault="00FA2147" w:rsidP="00424E6D">
      <w:pPr>
        <w:rPr>
          <w:b/>
        </w:rPr>
      </w:pPr>
    </w:p>
    <w:p w14:paraId="3D6DA938" w14:textId="144924AC" w:rsidR="00FA2147" w:rsidRDefault="00FA2147" w:rsidP="00424E6D">
      <w:pPr>
        <w:rPr>
          <w:b/>
        </w:rPr>
      </w:pPr>
    </w:p>
    <w:p w14:paraId="689C9B5E" w14:textId="19C76B53" w:rsidR="004727B1" w:rsidRDefault="00C000AB" w:rsidP="00C000AB">
      <w:pPr>
        <w:spacing w:after="0"/>
        <w:rPr>
          <w:b/>
        </w:rPr>
      </w:pPr>
      <w:r>
        <w:rPr>
          <w:b/>
        </w:rPr>
        <w:t xml:space="preserve">Table 2.  </w:t>
      </w:r>
      <w:r w:rsidRPr="00C000AB">
        <w:t xml:space="preserve">Building </w:t>
      </w:r>
      <w:r>
        <w:t>Counts for High-Risk Floodplains</w:t>
      </w:r>
    </w:p>
    <w:tbl>
      <w:tblPr>
        <w:tblW w:w="5480" w:type="dxa"/>
        <w:tblInd w:w="-5" w:type="dxa"/>
        <w:tblLook w:val="04A0" w:firstRow="1" w:lastRow="0" w:firstColumn="1" w:lastColumn="0" w:noHBand="0" w:noVBand="1"/>
      </w:tblPr>
      <w:tblGrid>
        <w:gridCol w:w="4060"/>
        <w:gridCol w:w="1420"/>
      </w:tblGrid>
      <w:tr w:rsidR="00DA58BB" w:rsidRPr="00FA2147" w14:paraId="301ACA58" w14:textId="77777777" w:rsidTr="00DA58BB">
        <w:trPr>
          <w:trHeight w:val="300"/>
        </w:trPr>
        <w:tc>
          <w:tcPr>
            <w:tcW w:w="548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677FE255" w14:textId="0E086700" w:rsidR="00DA58BB" w:rsidRPr="00DA58BB" w:rsidRDefault="00DA58BB" w:rsidP="00DA58BB">
            <w:pPr>
              <w:spacing w:after="0" w:line="240" w:lineRule="auto"/>
              <w:jc w:val="center"/>
              <w:rPr>
                <w:rFonts w:ascii="Calibri" w:eastAsia="Times New Roman" w:hAnsi="Calibri" w:cs="Calibri"/>
                <w:b/>
                <w:bCs/>
                <w:color w:val="000000"/>
                <w:sz w:val="20"/>
              </w:rPr>
            </w:pPr>
            <w:r>
              <w:rPr>
                <w:rFonts w:ascii="Calibri" w:eastAsia="Times New Roman" w:hAnsi="Calibri" w:cs="Calibri"/>
                <w:b/>
                <w:bCs/>
                <w:color w:val="000000"/>
                <w:sz w:val="20"/>
              </w:rPr>
              <w:t>High-Risk Effective Floodplains (Special Flood Hazard Areas)</w:t>
            </w:r>
          </w:p>
        </w:tc>
      </w:tr>
      <w:tr w:rsidR="00FA2147" w:rsidRPr="00FA2147" w14:paraId="246B9424" w14:textId="77777777" w:rsidTr="000B3174">
        <w:trPr>
          <w:trHeight w:val="300"/>
        </w:trPr>
        <w:tc>
          <w:tcPr>
            <w:tcW w:w="4060" w:type="dxa"/>
            <w:tcBorders>
              <w:top w:val="single" w:sz="4" w:space="0" w:color="auto"/>
              <w:left w:val="single" w:sz="4" w:space="0" w:color="auto"/>
              <w:bottom w:val="single" w:sz="4" w:space="0" w:color="auto"/>
              <w:right w:val="single" w:sz="4" w:space="0" w:color="auto"/>
            </w:tcBorders>
            <w:shd w:val="clear" w:color="auto" w:fill="F7CAAC" w:themeFill="accent2" w:themeFillTint="66"/>
            <w:vAlign w:val="bottom"/>
            <w:hideMark/>
          </w:tcPr>
          <w:p w14:paraId="2E7DA12A" w14:textId="133CF19C"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SFHA (Effective only)</w:t>
            </w:r>
          </w:p>
        </w:tc>
        <w:tc>
          <w:tcPr>
            <w:tcW w:w="1420" w:type="dxa"/>
            <w:tcBorders>
              <w:top w:val="single" w:sz="4" w:space="0" w:color="auto"/>
              <w:left w:val="nil"/>
              <w:bottom w:val="single" w:sz="4" w:space="0" w:color="auto"/>
              <w:right w:val="single" w:sz="4" w:space="0" w:color="auto"/>
            </w:tcBorders>
            <w:shd w:val="clear" w:color="auto" w:fill="F7CAAC" w:themeFill="accent2" w:themeFillTint="66"/>
            <w:noWrap/>
            <w:vAlign w:val="bottom"/>
            <w:hideMark/>
          </w:tcPr>
          <w:p w14:paraId="249C8A1F" w14:textId="77777777" w:rsidR="00FA2147" w:rsidRPr="00DA58BB" w:rsidRDefault="00FA2147" w:rsidP="00FA2147">
            <w:pPr>
              <w:spacing w:after="0" w:line="240" w:lineRule="auto"/>
              <w:jc w:val="center"/>
              <w:rPr>
                <w:rFonts w:ascii="Calibri" w:eastAsia="Times New Roman" w:hAnsi="Calibri" w:cs="Calibri"/>
                <w:b/>
                <w:bCs/>
                <w:color w:val="000000"/>
                <w:sz w:val="20"/>
              </w:rPr>
            </w:pPr>
            <w:r w:rsidRPr="00DA58BB">
              <w:rPr>
                <w:rFonts w:ascii="Calibri" w:eastAsia="Times New Roman" w:hAnsi="Calibri" w:cs="Calibri"/>
                <w:b/>
                <w:bCs/>
                <w:color w:val="000000"/>
                <w:sz w:val="20"/>
              </w:rPr>
              <w:t>5,486</w:t>
            </w:r>
          </w:p>
        </w:tc>
      </w:tr>
      <w:tr w:rsidR="00FA2147" w:rsidRPr="00FA2147" w14:paraId="67FF7E07" w14:textId="77777777" w:rsidTr="000B3174">
        <w:trPr>
          <w:trHeight w:val="300"/>
        </w:trPr>
        <w:tc>
          <w:tcPr>
            <w:tcW w:w="406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E1EEA7D" w14:textId="6973F40F"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Approximate A</w:t>
            </w:r>
          </w:p>
        </w:tc>
        <w:tc>
          <w:tcPr>
            <w:tcW w:w="1420" w:type="dxa"/>
            <w:tcBorders>
              <w:top w:val="nil"/>
              <w:left w:val="nil"/>
              <w:bottom w:val="single" w:sz="4" w:space="0" w:color="auto"/>
              <w:right w:val="single" w:sz="4" w:space="0" w:color="auto"/>
            </w:tcBorders>
            <w:shd w:val="clear" w:color="auto" w:fill="F7CAAC" w:themeFill="accent2" w:themeFillTint="66"/>
            <w:noWrap/>
            <w:vAlign w:val="bottom"/>
            <w:hideMark/>
          </w:tcPr>
          <w:p w14:paraId="1316AD35" w14:textId="77777777" w:rsidR="00FA2147" w:rsidRPr="00DA58BB" w:rsidRDefault="00FA2147" w:rsidP="00FA2147">
            <w:pPr>
              <w:spacing w:after="0" w:line="240" w:lineRule="auto"/>
              <w:jc w:val="right"/>
              <w:rPr>
                <w:rFonts w:ascii="Calibri" w:eastAsia="Times New Roman" w:hAnsi="Calibri" w:cs="Calibri"/>
                <w:color w:val="000000"/>
                <w:sz w:val="20"/>
              </w:rPr>
            </w:pPr>
            <w:r w:rsidRPr="00DA58BB">
              <w:rPr>
                <w:rFonts w:ascii="Calibri" w:eastAsia="Times New Roman" w:hAnsi="Calibri" w:cs="Calibri"/>
                <w:color w:val="000000"/>
                <w:sz w:val="20"/>
              </w:rPr>
              <w:t>2,598</w:t>
            </w:r>
          </w:p>
        </w:tc>
      </w:tr>
      <w:tr w:rsidR="00FA2147" w:rsidRPr="00FA2147" w14:paraId="6AB70910" w14:textId="77777777" w:rsidTr="000B3174">
        <w:trPr>
          <w:trHeight w:val="300"/>
        </w:trPr>
        <w:tc>
          <w:tcPr>
            <w:tcW w:w="4060" w:type="dxa"/>
            <w:tcBorders>
              <w:top w:val="nil"/>
              <w:left w:val="single" w:sz="4" w:space="0" w:color="auto"/>
              <w:bottom w:val="single" w:sz="4" w:space="0" w:color="auto"/>
              <w:right w:val="single" w:sz="4" w:space="0" w:color="auto"/>
            </w:tcBorders>
            <w:shd w:val="clear" w:color="auto" w:fill="F7CAAC" w:themeFill="accent2" w:themeFillTint="66"/>
            <w:vAlign w:val="bottom"/>
            <w:hideMark/>
          </w:tcPr>
          <w:p w14:paraId="4F92C016" w14:textId="336AE65D" w:rsidR="00FA2147" w:rsidRPr="00DA58BB" w:rsidRDefault="00FA2147" w:rsidP="00FA2147">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Detailed AE</w:t>
            </w:r>
          </w:p>
        </w:tc>
        <w:tc>
          <w:tcPr>
            <w:tcW w:w="1420" w:type="dxa"/>
            <w:tcBorders>
              <w:top w:val="nil"/>
              <w:left w:val="nil"/>
              <w:bottom w:val="single" w:sz="4" w:space="0" w:color="auto"/>
              <w:right w:val="single" w:sz="4" w:space="0" w:color="auto"/>
            </w:tcBorders>
            <w:shd w:val="clear" w:color="auto" w:fill="F7CAAC" w:themeFill="accent2" w:themeFillTint="66"/>
            <w:noWrap/>
            <w:vAlign w:val="bottom"/>
            <w:hideMark/>
          </w:tcPr>
          <w:p w14:paraId="4BDFFB43" w14:textId="77777777" w:rsidR="00FA2147" w:rsidRPr="00DA58BB" w:rsidRDefault="00FA2147" w:rsidP="00FA2147">
            <w:pPr>
              <w:spacing w:after="0" w:line="240" w:lineRule="auto"/>
              <w:jc w:val="right"/>
              <w:rPr>
                <w:rFonts w:ascii="Calibri" w:eastAsia="Times New Roman" w:hAnsi="Calibri" w:cs="Calibri"/>
                <w:color w:val="000000"/>
                <w:sz w:val="20"/>
              </w:rPr>
            </w:pPr>
            <w:r w:rsidRPr="00DA58BB">
              <w:rPr>
                <w:rFonts w:ascii="Calibri" w:eastAsia="Times New Roman" w:hAnsi="Calibri" w:cs="Calibri"/>
                <w:color w:val="000000"/>
                <w:sz w:val="20"/>
              </w:rPr>
              <w:t>2,306</w:t>
            </w:r>
          </w:p>
        </w:tc>
      </w:tr>
      <w:tr w:rsidR="00FA2147" w:rsidRPr="00FA2147" w14:paraId="2C684020" w14:textId="77777777" w:rsidTr="00FA2147">
        <w:trPr>
          <w:trHeight w:val="300"/>
        </w:trPr>
        <w:tc>
          <w:tcPr>
            <w:tcW w:w="4060" w:type="dxa"/>
            <w:tcBorders>
              <w:top w:val="nil"/>
              <w:left w:val="single" w:sz="4" w:space="0" w:color="auto"/>
              <w:bottom w:val="single" w:sz="4" w:space="0" w:color="auto"/>
              <w:right w:val="single" w:sz="4" w:space="0" w:color="auto"/>
            </w:tcBorders>
            <w:shd w:val="clear" w:color="000000" w:fill="7030A0"/>
            <w:vAlign w:val="bottom"/>
            <w:hideMark/>
          </w:tcPr>
          <w:p w14:paraId="0AE38ED8" w14:textId="34FBCA2B" w:rsidR="00FA2147" w:rsidRPr="00DA58BB" w:rsidRDefault="00FA2147" w:rsidP="00FA2147">
            <w:pPr>
              <w:spacing w:after="0" w:line="240" w:lineRule="auto"/>
              <w:rPr>
                <w:rFonts w:ascii="Calibri" w:eastAsia="Times New Roman" w:hAnsi="Calibri" w:cs="Calibri"/>
                <w:color w:val="FFFFFF"/>
                <w:sz w:val="20"/>
              </w:rPr>
            </w:pPr>
            <w:r w:rsidRPr="00DA58BB">
              <w:rPr>
                <w:rFonts w:ascii="Calibri" w:eastAsia="Times New Roman" w:hAnsi="Calibri" w:cs="Calibri"/>
                <w:color w:val="FFFFFF"/>
                <w:sz w:val="20"/>
              </w:rPr>
              <w:t>Detailed AE Floodway</w:t>
            </w:r>
          </w:p>
        </w:tc>
        <w:tc>
          <w:tcPr>
            <w:tcW w:w="1420" w:type="dxa"/>
            <w:tcBorders>
              <w:top w:val="nil"/>
              <w:left w:val="nil"/>
              <w:bottom w:val="single" w:sz="4" w:space="0" w:color="auto"/>
              <w:right w:val="single" w:sz="4" w:space="0" w:color="auto"/>
            </w:tcBorders>
            <w:shd w:val="clear" w:color="000000" w:fill="7030A0"/>
            <w:noWrap/>
            <w:vAlign w:val="bottom"/>
            <w:hideMark/>
          </w:tcPr>
          <w:p w14:paraId="56EBBAC0" w14:textId="77777777" w:rsidR="00FA2147" w:rsidRPr="00DA58BB" w:rsidRDefault="00FA2147" w:rsidP="00FA2147">
            <w:pPr>
              <w:spacing w:after="0" w:line="240" w:lineRule="auto"/>
              <w:jc w:val="right"/>
              <w:rPr>
                <w:rFonts w:ascii="Calibri" w:eastAsia="Times New Roman" w:hAnsi="Calibri" w:cs="Calibri"/>
                <w:color w:val="FFFFFF"/>
                <w:sz w:val="20"/>
              </w:rPr>
            </w:pPr>
            <w:r w:rsidRPr="00DA58BB">
              <w:rPr>
                <w:rFonts w:ascii="Calibri" w:eastAsia="Times New Roman" w:hAnsi="Calibri" w:cs="Calibri"/>
                <w:color w:val="FFFFFF"/>
                <w:sz w:val="20"/>
              </w:rPr>
              <w:t>582</w:t>
            </w:r>
          </w:p>
        </w:tc>
      </w:tr>
    </w:tbl>
    <w:p w14:paraId="5E099B38" w14:textId="5525307E" w:rsidR="00FA2147" w:rsidRDefault="00FA2147" w:rsidP="00424E6D">
      <w:pPr>
        <w:rPr>
          <w:b/>
        </w:rPr>
      </w:pPr>
    </w:p>
    <w:tbl>
      <w:tblPr>
        <w:tblW w:w="5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0"/>
        <w:gridCol w:w="1420"/>
      </w:tblGrid>
      <w:tr w:rsidR="000B3174" w:rsidRPr="00DA58BB" w14:paraId="119A7E5F" w14:textId="77777777" w:rsidTr="000B3174">
        <w:trPr>
          <w:trHeight w:val="188"/>
        </w:trPr>
        <w:tc>
          <w:tcPr>
            <w:tcW w:w="5480" w:type="dxa"/>
            <w:gridSpan w:val="2"/>
            <w:shd w:val="clear" w:color="auto" w:fill="auto"/>
            <w:vAlign w:val="bottom"/>
            <w:hideMark/>
          </w:tcPr>
          <w:p w14:paraId="6CFA7F41" w14:textId="77777777" w:rsidR="000B3174" w:rsidRDefault="000B3174" w:rsidP="005013FB">
            <w:pPr>
              <w:spacing w:after="0" w:line="240" w:lineRule="auto"/>
              <w:jc w:val="center"/>
              <w:rPr>
                <w:rFonts w:ascii="Calibri" w:eastAsia="Times New Roman" w:hAnsi="Calibri" w:cs="Calibri"/>
                <w:b/>
                <w:bCs/>
                <w:color w:val="000000"/>
                <w:sz w:val="20"/>
              </w:rPr>
            </w:pPr>
          </w:p>
          <w:p w14:paraId="60F0D14E" w14:textId="77777777" w:rsidR="000B3174" w:rsidRPr="00DA58BB" w:rsidRDefault="000B3174" w:rsidP="005013FB">
            <w:pPr>
              <w:spacing w:after="0" w:line="240" w:lineRule="auto"/>
              <w:jc w:val="center"/>
              <w:rPr>
                <w:rFonts w:ascii="Calibri" w:eastAsia="Times New Roman" w:hAnsi="Calibri" w:cs="Calibri"/>
                <w:color w:val="000000"/>
                <w:sz w:val="20"/>
              </w:rPr>
            </w:pPr>
            <w:r>
              <w:rPr>
                <w:rFonts w:ascii="Calibri" w:eastAsia="Times New Roman" w:hAnsi="Calibri" w:cs="Calibri"/>
                <w:b/>
                <w:bCs/>
                <w:color w:val="000000"/>
                <w:sz w:val="20"/>
              </w:rPr>
              <w:t>High-Risk Effective and Advisory Floodplains</w:t>
            </w:r>
          </w:p>
        </w:tc>
      </w:tr>
      <w:tr w:rsidR="000B3174" w:rsidRPr="00DA58BB" w14:paraId="6E01CB04" w14:textId="77777777" w:rsidTr="000B3174">
        <w:trPr>
          <w:trHeight w:val="300"/>
        </w:trPr>
        <w:tc>
          <w:tcPr>
            <w:tcW w:w="4060" w:type="dxa"/>
            <w:shd w:val="clear" w:color="auto" w:fill="F7CAAC" w:themeFill="accent2" w:themeFillTint="66"/>
            <w:vAlign w:val="bottom"/>
            <w:hideMark/>
          </w:tcPr>
          <w:p w14:paraId="6EEEBE9A" w14:textId="77777777" w:rsidR="000B3174" w:rsidRPr="00DA58BB" w:rsidRDefault="000B3174" w:rsidP="005013FB">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SFHA</w:t>
            </w:r>
            <w:r>
              <w:rPr>
                <w:rFonts w:ascii="Calibri" w:eastAsia="Times New Roman" w:hAnsi="Calibri" w:cs="Calibri"/>
                <w:color w:val="000000"/>
                <w:sz w:val="20"/>
              </w:rPr>
              <w:t xml:space="preserve"> </w:t>
            </w:r>
          </w:p>
        </w:tc>
        <w:tc>
          <w:tcPr>
            <w:tcW w:w="1420" w:type="dxa"/>
            <w:shd w:val="clear" w:color="auto" w:fill="F7CAAC" w:themeFill="accent2" w:themeFillTint="66"/>
            <w:noWrap/>
            <w:vAlign w:val="bottom"/>
            <w:hideMark/>
          </w:tcPr>
          <w:p w14:paraId="58130DB5" w14:textId="77777777" w:rsidR="000B3174" w:rsidRPr="00DA58BB" w:rsidRDefault="000B3174" w:rsidP="005013FB">
            <w:pPr>
              <w:spacing w:after="0" w:line="240" w:lineRule="auto"/>
              <w:jc w:val="center"/>
              <w:rPr>
                <w:rFonts w:ascii="Calibri" w:eastAsia="Times New Roman" w:hAnsi="Calibri" w:cs="Calibri"/>
                <w:b/>
                <w:bCs/>
                <w:color w:val="000000"/>
                <w:sz w:val="20"/>
              </w:rPr>
            </w:pPr>
            <w:r w:rsidRPr="00DA58BB">
              <w:rPr>
                <w:rFonts w:ascii="Calibri" w:eastAsia="Times New Roman" w:hAnsi="Calibri" w:cs="Calibri"/>
                <w:b/>
                <w:bCs/>
                <w:color w:val="000000"/>
                <w:sz w:val="20"/>
              </w:rPr>
              <w:t>5,486</w:t>
            </w:r>
          </w:p>
        </w:tc>
      </w:tr>
      <w:tr w:rsidR="000B3174" w:rsidRPr="00DA58BB" w14:paraId="56329AAB" w14:textId="77777777" w:rsidTr="000B3174">
        <w:trPr>
          <w:trHeight w:val="300"/>
        </w:trPr>
        <w:tc>
          <w:tcPr>
            <w:tcW w:w="4060" w:type="dxa"/>
            <w:shd w:val="clear" w:color="000000" w:fill="FFC000"/>
            <w:vAlign w:val="bottom"/>
            <w:hideMark/>
          </w:tcPr>
          <w:p w14:paraId="55D658BB" w14:textId="77777777" w:rsidR="000B3174" w:rsidRPr="00DA58BB" w:rsidRDefault="000B3174" w:rsidP="005013FB">
            <w:pPr>
              <w:spacing w:after="0" w:line="240" w:lineRule="auto"/>
              <w:rPr>
                <w:rFonts w:ascii="Calibri" w:eastAsia="Times New Roman" w:hAnsi="Calibri" w:cs="Calibri"/>
                <w:color w:val="000000"/>
                <w:sz w:val="20"/>
              </w:rPr>
            </w:pPr>
            <w:r w:rsidRPr="00DA58BB">
              <w:rPr>
                <w:rFonts w:ascii="Calibri" w:eastAsia="Times New Roman" w:hAnsi="Calibri" w:cs="Calibri"/>
                <w:color w:val="000000"/>
                <w:sz w:val="20"/>
              </w:rPr>
              <w:t>Mapped in Advisory A / AE</w:t>
            </w:r>
          </w:p>
        </w:tc>
        <w:tc>
          <w:tcPr>
            <w:tcW w:w="1420" w:type="dxa"/>
            <w:shd w:val="clear" w:color="000000" w:fill="FFC000"/>
            <w:noWrap/>
            <w:vAlign w:val="bottom"/>
            <w:hideMark/>
          </w:tcPr>
          <w:p w14:paraId="1B16D694" w14:textId="77777777" w:rsidR="000B3174" w:rsidRPr="00DA58BB" w:rsidRDefault="000B3174" w:rsidP="005013FB">
            <w:pPr>
              <w:spacing w:after="0" w:line="240" w:lineRule="auto"/>
              <w:jc w:val="center"/>
              <w:rPr>
                <w:rFonts w:ascii="Calibri" w:eastAsia="Times New Roman" w:hAnsi="Calibri" w:cs="Calibri"/>
                <w:color w:val="000000"/>
                <w:sz w:val="20"/>
              </w:rPr>
            </w:pPr>
            <w:r w:rsidRPr="00DA58BB">
              <w:rPr>
                <w:rFonts w:ascii="Calibri" w:eastAsia="Times New Roman" w:hAnsi="Calibri" w:cs="Calibri"/>
                <w:color w:val="000000"/>
                <w:sz w:val="20"/>
              </w:rPr>
              <w:t>1,636</w:t>
            </w:r>
          </w:p>
        </w:tc>
      </w:tr>
      <w:tr w:rsidR="000B3174" w:rsidRPr="00DA58BB" w14:paraId="707DAB71" w14:textId="77777777" w:rsidTr="000B3174">
        <w:trPr>
          <w:trHeight w:val="600"/>
        </w:trPr>
        <w:tc>
          <w:tcPr>
            <w:tcW w:w="4060" w:type="dxa"/>
            <w:shd w:val="clear" w:color="000000" w:fill="2F75B5"/>
            <w:vAlign w:val="center"/>
            <w:hideMark/>
          </w:tcPr>
          <w:p w14:paraId="6E648715" w14:textId="77777777" w:rsidR="000B3174" w:rsidRPr="00DA58BB" w:rsidRDefault="000B3174" w:rsidP="005013FB">
            <w:pPr>
              <w:spacing w:after="0" w:line="240" w:lineRule="auto"/>
              <w:rPr>
                <w:rFonts w:ascii="Calibri" w:eastAsia="Times New Roman" w:hAnsi="Calibri" w:cs="Calibri"/>
                <w:b/>
                <w:bCs/>
                <w:color w:val="FFFFFF"/>
                <w:sz w:val="20"/>
              </w:rPr>
            </w:pPr>
            <w:r w:rsidRPr="00DA58BB">
              <w:rPr>
                <w:rFonts w:ascii="Calibri" w:eastAsia="Times New Roman" w:hAnsi="Calibri" w:cs="Calibri"/>
                <w:b/>
                <w:bCs/>
                <w:color w:val="FFFFFF"/>
                <w:sz w:val="20"/>
              </w:rPr>
              <w:t>Total High-Risk (Effective &amp; Advisory) 1% Floodplains</w:t>
            </w:r>
          </w:p>
        </w:tc>
        <w:tc>
          <w:tcPr>
            <w:tcW w:w="1420" w:type="dxa"/>
            <w:shd w:val="clear" w:color="000000" w:fill="2F75B5"/>
            <w:noWrap/>
            <w:vAlign w:val="center"/>
            <w:hideMark/>
          </w:tcPr>
          <w:p w14:paraId="219F1F3A" w14:textId="77777777" w:rsidR="000B3174" w:rsidRPr="00DA58BB" w:rsidRDefault="000B3174" w:rsidP="005013FB">
            <w:pPr>
              <w:spacing w:after="0" w:line="240" w:lineRule="auto"/>
              <w:jc w:val="center"/>
              <w:rPr>
                <w:rFonts w:ascii="Calibri" w:eastAsia="Times New Roman" w:hAnsi="Calibri" w:cs="Calibri"/>
                <w:b/>
                <w:bCs/>
                <w:color w:val="FFFFFF"/>
                <w:sz w:val="20"/>
              </w:rPr>
            </w:pPr>
            <w:r w:rsidRPr="00DA58BB">
              <w:rPr>
                <w:rFonts w:ascii="Calibri" w:eastAsia="Times New Roman" w:hAnsi="Calibri" w:cs="Calibri"/>
                <w:b/>
                <w:bCs/>
                <w:color w:val="FFFFFF"/>
                <w:sz w:val="20"/>
              </w:rPr>
              <w:t>7,122</w:t>
            </w:r>
          </w:p>
        </w:tc>
      </w:tr>
    </w:tbl>
    <w:p w14:paraId="0EC22EC3" w14:textId="77777777" w:rsidR="000B3174" w:rsidRDefault="000B3174" w:rsidP="00424E6D">
      <w:pPr>
        <w:rPr>
          <w:b/>
        </w:rPr>
      </w:pPr>
    </w:p>
    <w:p w14:paraId="06070025" w14:textId="7D8A0105" w:rsidR="00024221" w:rsidRDefault="00024221" w:rsidP="00424E6D">
      <w:pPr>
        <w:rPr>
          <w:b/>
        </w:rPr>
      </w:pPr>
    </w:p>
    <w:p w14:paraId="4186845C" w14:textId="15D1369A" w:rsidR="00024221" w:rsidRDefault="00024221" w:rsidP="00024221">
      <w:pPr>
        <w:pStyle w:val="Heading2"/>
      </w:pPr>
      <w:bookmarkStart w:id="10" w:name="_Toc114650827"/>
      <w:r>
        <w:t>Summary Building Risk by Community Type</w:t>
      </w:r>
      <w:bookmarkEnd w:id="10"/>
    </w:p>
    <w:p w14:paraId="609086C6" w14:textId="04A7D6FE" w:rsidR="00024221" w:rsidRDefault="00024221" w:rsidP="00024221">
      <w:pPr>
        <w:pStyle w:val="ListParagraph"/>
        <w:numPr>
          <w:ilvl w:val="0"/>
          <w:numId w:val="4"/>
        </w:numPr>
      </w:pPr>
      <w:r>
        <w:t xml:space="preserve">Incorporated Areas:  </w:t>
      </w:r>
      <w:r w:rsidRPr="001359D8">
        <w:rPr>
          <w:b/>
          <w:bCs/>
          <w:color w:val="002060"/>
        </w:rPr>
        <w:t>White Sulphur Springs</w:t>
      </w:r>
      <w:r w:rsidRPr="00451502">
        <w:t xml:space="preserve"> and </w:t>
      </w:r>
      <w:r w:rsidRPr="001359D8">
        <w:rPr>
          <w:b/>
          <w:bCs/>
          <w:color w:val="002060"/>
        </w:rPr>
        <w:t>Marlinton</w:t>
      </w:r>
      <w:r w:rsidRPr="00451502">
        <w:t xml:space="preserve"> </w:t>
      </w:r>
      <w:r>
        <w:t>Incorporated Areas</w:t>
      </w:r>
      <w:r w:rsidRPr="00451502">
        <w:t xml:space="preserve"> have the highest 1% flood zone building counts and dollar exposure</w:t>
      </w:r>
      <w:r>
        <w:t>.</w:t>
      </w:r>
    </w:p>
    <w:p w14:paraId="238F5377" w14:textId="118C04B4" w:rsidR="00024221" w:rsidRPr="00BC2228" w:rsidRDefault="00024221" w:rsidP="00024221">
      <w:pPr>
        <w:pStyle w:val="ListParagraph"/>
        <w:numPr>
          <w:ilvl w:val="0"/>
          <w:numId w:val="4"/>
        </w:numPr>
      </w:pPr>
      <w:r>
        <w:t xml:space="preserve">Unincorporated Areas:  </w:t>
      </w:r>
      <w:r w:rsidRPr="001359D8">
        <w:rPr>
          <w:b/>
          <w:bCs/>
          <w:color w:val="002060"/>
        </w:rPr>
        <w:t>Greenbrier</w:t>
      </w:r>
      <w:r w:rsidRPr="00BC2228">
        <w:t xml:space="preserve"> and </w:t>
      </w:r>
      <w:r w:rsidRPr="001359D8">
        <w:rPr>
          <w:b/>
          <w:bCs/>
          <w:color w:val="002060"/>
        </w:rPr>
        <w:t>Fayette</w:t>
      </w:r>
      <w:r w:rsidRPr="000F738B">
        <w:rPr>
          <w:b/>
          <w:bCs/>
        </w:rPr>
        <w:t xml:space="preserve"> </w:t>
      </w:r>
      <w:r w:rsidRPr="00BC2228">
        <w:t>Unincorporated Areas</w:t>
      </w:r>
      <w:r w:rsidRPr="000F738B">
        <w:rPr>
          <w:b/>
          <w:bCs/>
        </w:rPr>
        <w:t xml:space="preserve"> </w:t>
      </w:r>
      <w:r w:rsidRPr="00BC2228">
        <w:t>have the highest building counts and dollar exposure</w:t>
      </w:r>
      <w:r>
        <w:t>.</w:t>
      </w:r>
    </w:p>
    <w:p w14:paraId="4C81C788" w14:textId="103B5B14" w:rsidR="00024221" w:rsidRPr="00BC2228" w:rsidRDefault="00024221" w:rsidP="00024221">
      <w:pPr>
        <w:pStyle w:val="ListParagraph"/>
        <w:numPr>
          <w:ilvl w:val="0"/>
          <w:numId w:val="4"/>
        </w:numPr>
      </w:pPr>
      <w:r w:rsidRPr="00BC2228">
        <w:t>Count</w:t>
      </w:r>
      <w:r>
        <w:t>ywide</w:t>
      </w:r>
      <w:r w:rsidRPr="00BC2228">
        <w:t xml:space="preserve">:  </w:t>
      </w:r>
      <w:r w:rsidRPr="001359D8">
        <w:rPr>
          <w:b/>
          <w:bCs/>
          <w:color w:val="002060"/>
        </w:rPr>
        <w:t>Greenbrier County</w:t>
      </w:r>
      <w:r w:rsidRPr="00BC2228">
        <w:t xml:space="preserve"> h</w:t>
      </w:r>
      <w:r>
        <w:t>as</w:t>
      </w:r>
      <w:r w:rsidRPr="00BC2228">
        <w:t xml:space="preserve"> the highest building counts and dollar exposure.</w:t>
      </w:r>
    </w:p>
    <w:p w14:paraId="0257DA7C" w14:textId="439D3459" w:rsidR="00024221" w:rsidRDefault="00024221">
      <w:pPr>
        <w:rPr>
          <w:b/>
        </w:rPr>
      </w:pPr>
      <w:r>
        <w:rPr>
          <w:noProof/>
        </w:rPr>
        <w:lastRenderedPageBreak/>
        <w:drawing>
          <wp:anchor distT="0" distB="0" distL="114300" distR="114300" simplePos="0" relativeHeight="251665408" behindDoc="1" locked="0" layoutInCell="1" allowOverlap="1" wp14:anchorId="2590CCA1" wp14:editId="6D1D5AEA">
            <wp:simplePos x="0" y="0"/>
            <wp:positionH relativeFrom="column">
              <wp:posOffset>320040</wp:posOffset>
            </wp:positionH>
            <wp:positionV relativeFrom="paragraph">
              <wp:posOffset>-92759</wp:posOffset>
            </wp:positionV>
            <wp:extent cx="5179174" cy="3912577"/>
            <wp:effectExtent l="0" t="0" r="2540" b="0"/>
            <wp:wrapTight wrapText="bothSides">
              <wp:wrapPolygon edited="0">
                <wp:start x="0" y="0"/>
                <wp:lineTo x="0" y="21456"/>
                <wp:lineTo x="21531" y="21456"/>
                <wp:lineTo x="2153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179174" cy="3912577"/>
                    </a:xfrm>
                    <a:prstGeom prst="rect">
                      <a:avLst/>
                    </a:prstGeom>
                  </pic:spPr>
                </pic:pic>
              </a:graphicData>
            </a:graphic>
            <wp14:sizeRelH relativeFrom="margin">
              <wp14:pctWidth>0</wp14:pctWidth>
            </wp14:sizeRelH>
            <wp14:sizeRelV relativeFrom="margin">
              <wp14:pctHeight>0</wp14:pctHeight>
            </wp14:sizeRelV>
          </wp:anchor>
        </w:drawing>
      </w:r>
      <w:r>
        <w:rPr>
          <w:b/>
        </w:rPr>
        <w:br w:type="page"/>
      </w:r>
    </w:p>
    <w:p w14:paraId="129887E6" w14:textId="2847079E" w:rsidR="006C46BC" w:rsidRDefault="006C46BC" w:rsidP="006C46BC">
      <w:pPr>
        <w:pStyle w:val="Heading2"/>
      </w:pPr>
      <w:bookmarkStart w:id="11" w:name="_Toc114650828"/>
      <w:r>
        <w:lastRenderedPageBreak/>
        <w:t>Future Map Conditions</w:t>
      </w:r>
      <w:r w:rsidR="00A769E5">
        <w:t xml:space="preserve"> – Structures Mapped into SFHA</w:t>
      </w:r>
      <w:bookmarkEnd w:id="11"/>
    </w:p>
    <w:p w14:paraId="1D0F0631" w14:textId="130FD760" w:rsidR="001D69A0" w:rsidRPr="00A769E5" w:rsidRDefault="001D69A0" w:rsidP="006C46BC">
      <w:pPr>
        <w:rPr>
          <w:i/>
        </w:rPr>
      </w:pPr>
      <w:r>
        <w:t>Where advisory floodplain</w:t>
      </w:r>
      <w:r w:rsidR="00A774AD">
        <w:t>s</w:t>
      </w:r>
      <w:r>
        <w:t xml:space="preserve"> exist, the</w:t>
      </w:r>
      <w:r w:rsidRPr="001D69A0">
        <w:t xml:space="preserve"> "mapped-in" structures</w:t>
      </w:r>
      <w:r>
        <w:t xml:space="preserve"> (orange color primary structures on WV Flood Tool)</w:t>
      </w:r>
      <w:r w:rsidRPr="001D69A0">
        <w:t xml:space="preserve"> </w:t>
      </w:r>
      <w:r>
        <w:t xml:space="preserve">represent buildings that </w:t>
      </w:r>
      <w:r w:rsidRPr="001D69A0">
        <w:t>most likely will be included in the SFHA when future FEMA Restudies are done and new FIRMS become effective.</w:t>
      </w:r>
      <w:r w:rsidR="00A769E5">
        <w:t xml:space="preserve">  Non-regulatory advisory floodplains are generated from Preliminary/Draft Risk MAP studies or Advisory Flood Height studies.  </w:t>
      </w:r>
      <w:r w:rsidR="00A769E5" w:rsidRPr="00A769E5">
        <w:rPr>
          <w:i/>
        </w:rPr>
        <w:t xml:space="preserve">Communities should review all "mapped-in" structures.  </w:t>
      </w:r>
      <w:r w:rsidRPr="00A769E5">
        <w:rPr>
          <w:i/>
        </w:rPr>
        <w:t>Homeowners are at higher risk to flooding and should be contacted about Flood Insurance Preferred Risk Policies and other potential mitigation measures.</w:t>
      </w:r>
    </w:p>
    <w:p w14:paraId="079158CB" w14:textId="61C63339" w:rsidR="006C46BC" w:rsidRDefault="006C46BC" w:rsidP="006C46BC">
      <w:pPr>
        <w:rPr>
          <w:bCs/>
        </w:rPr>
      </w:pPr>
      <w:r w:rsidRPr="00A769E5">
        <w:rPr>
          <w:i/>
        </w:rPr>
        <w:t>A</w:t>
      </w:r>
      <w:r w:rsidRPr="00424E6D">
        <w:t>ccording to future flood maps,</w:t>
      </w:r>
      <w:r w:rsidR="00A769E5">
        <w:t xml:space="preserve"> </w:t>
      </w:r>
      <w:r w:rsidR="00A769E5" w:rsidRPr="0032506F">
        <w:rPr>
          <w:b/>
          <w:color w:val="1F4E79" w:themeColor="accent1" w:themeShade="80"/>
        </w:rPr>
        <w:t>Greenbrier</w:t>
      </w:r>
      <w:r w:rsidR="00A769E5">
        <w:rPr>
          <w:b/>
        </w:rPr>
        <w:t xml:space="preserve"> </w:t>
      </w:r>
      <w:r w:rsidR="00A769E5" w:rsidRPr="00A769E5">
        <w:t>(</w:t>
      </w:r>
      <w:r w:rsidR="00A769E5">
        <w:t>735),</w:t>
      </w:r>
      <w:r w:rsidRPr="00424E6D">
        <w:t xml:space="preserve"> </w:t>
      </w:r>
      <w:r w:rsidRPr="0032506F">
        <w:rPr>
          <w:b/>
          <w:color w:val="1F4E79" w:themeColor="accent1" w:themeShade="80"/>
        </w:rPr>
        <w:t>Fayette</w:t>
      </w:r>
      <w:r w:rsidR="00A769E5" w:rsidRPr="0032506F">
        <w:rPr>
          <w:color w:val="1F4E79" w:themeColor="accent1" w:themeShade="80"/>
        </w:rPr>
        <w:t xml:space="preserve"> </w:t>
      </w:r>
      <w:r w:rsidR="00A769E5" w:rsidRPr="00A769E5">
        <w:t>(</w:t>
      </w:r>
      <w:r w:rsidR="00A769E5">
        <w:t>590</w:t>
      </w:r>
      <w:r w:rsidR="00A769E5" w:rsidRPr="00A769E5">
        <w:t>)</w:t>
      </w:r>
      <w:r w:rsidRPr="00A769E5">
        <w:t>,</w:t>
      </w:r>
      <w:r w:rsidRPr="00424E6D">
        <w:t xml:space="preserve"> and</w:t>
      </w:r>
      <w:r w:rsidRPr="00424E6D">
        <w:rPr>
          <w:b/>
        </w:rPr>
        <w:t xml:space="preserve"> </w:t>
      </w:r>
      <w:r w:rsidRPr="0032506F">
        <w:rPr>
          <w:b/>
          <w:color w:val="1F4E79" w:themeColor="accent1" w:themeShade="80"/>
        </w:rPr>
        <w:t>Pocahontas</w:t>
      </w:r>
      <w:r w:rsidRPr="0032506F">
        <w:rPr>
          <w:color w:val="1F4E79" w:themeColor="accent1" w:themeShade="80"/>
        </w:rPr>
        <w:t xml:space="preserve"> </w:t>
      </w:r>
      <w:r w:rsidR="004727B1">
        <w:t xml:space="preserve">(167) </w:t>
      </w:r>
      <w:r w:rsidRPr="00424E6D">
        <w:t xml:space="preserve">counties have </w:t>
      </w:r>
      <w:r w:rsidR="00A774AD" w:rsidRPr="00424E6D">
        <w:t>many</w:t>
      </w:r>
      <w:r w:rsidRPr="00424E6D">
        <w:t xml:space="preserve"> structures being </w:t>
      </w:r>
      <w:r w:rsidRPr="00424E6D">
        <w:rPr>
          <w:bCs/>
        </w:rPr>
        <w:t>mapped in to future SFHA</w:t>
      </w:r>
      <w:r>
        <w:rPr>
          <w:bCs/>
        </w:rPr>
        <w:t>.</w:t>
      </w:r>
      <w:r w:rsidR="004727B1">
        <w:rPr>
          <w:bCs/>
        </w:rPr>
        <w:t xml:space="preserve">  The towns of </w:t>
      </w:r>
      <w:r w:rsidR="004727B1" w:rsidRPr="0032506F">
        <w:rPr>
          <w:b/>
          <w:bCs/>
          <w:color w:val="1F4E79" w:themeColor="accent1" w:themeShade="80"/>
        </w:rPr>
        <w:t>Rainelle</w:t>
      </w:r>
      <w:r w:rsidR="004727B1">
        <w:rPr>
          <w:bCs/>
        </w:rPr>
        <w:t xml:space="preserve"> (331) and </w:t>
      </w:r>
      <w:r w:rsidR="004727B1" w:rsidRPr="0032506F">
        <w:rPr>
          <w:b/>
          <w:bCs/>
          <w:color w:val="1F4E79" w:themeColor="accent1" w:themeShade="80"/>
        </w:rPr>
        <w:t>White Sulphur Springs</w:t>
      </w:r>
      <w:r w:rsidR="004727B1" w:rsidRPr="0032506F">
        <w:rPr>
          <w:bCs/>
          <w:color w:val="1F4E79" w:themeColor="accent1" w:themeShade="80"/>
        </w:rPr>
        <w:t xml:space="preserve"> </w:t>
      </w:r>
      <w:r w:rsidR="004727B1">
        <w:rPr>
          <w:bCs/>
        </w:rPr>
        <w:t xml:space="preserve">(68) have </w:t>
      </w:r>
      <w:r w:rsidR="00A774AD">
        <w:rPr>
          <w:bCs/>
        </w:rPr>
        <w:t>many</w:t>
      </w:r>
      <w:r w:rsidR="004727B1">
        <w:rPr>
          <w:bCs/>
        </w:rPr>
        <w:t xml:space="preserve"> mapped in structures as well.</w:t>
      </w:r>
      <w:r w:rsidR="00A774AD">
        <w:rPr>
          <w:bCs/>
        </w:rPr>
        <w:br/>
      </w:r>
    </w:p>
    <w:p w14:paraId="1753B5B7" w14:textId="31EB344B" w:rsidR="00451502" w:rsidRDefault="00BC2228" w:rsidP="00E9667C">
      <w:pPr>
        <w:pStyle w:val="Heading2"/>
      </w:pPr>
      <w:bookmarkStart w:id="12" w:name="_Toc114650829"/>
      <w:r w:rsidRPr="00FC1787">
        <w:t>Building Exposure and Type</w:t>
      </w:r>
      <w:bookmarkEnd w:id="12"/>
    </w:p>
    <w:p w14:paraId="7BF02486" w14:textId="77777777" w:rsidR="0070536B" w:rsidRPr="0070536B" w:rsidRDefault="0070536B" w:rsidP="0070536B">
      <w:r w:rsidRPr="0070536B">
        <w:t xml:space="preserve">This section identifies high-valued buildings and other building characteristics exposed in the 1%-annual-chance (100-year) floodplain.  Building level risk assessments (BLRA) are developed by pinpointing all primary insurable structures in the </w:t>
      </w:r>
      <w:r w:rsidRPr="0070536B">
        <w:rPr>
          <w:bCs/>
        </w:rPr>
        <w:t>high-risk effective and advisory floodplains</w:t>
      </w:r>
      <w:r w:rsidRPr="0070536B">
        <w:t xml:space="preserve">.  Building characteristics inventoried and verified are Occupancy Class, Foundation Type, First Floor Height, Number of Stories, Area, and Replacement Cost.  Default values are populated from the WV Property Tax Assessment Database and if necessary modified with user-defined values.  Building pictures can be linked to the structure-level risk assessment using the unique building identifier (Parcel ID + Address Number).   </w:t>
      </w:r>
    </w:p>
    <w:p w14:paraId="6A802C6B" w14:textId="6D86F791" w:rsidR="0070536B" w:rsidRPr="00EF049F" w:rsidRDefault="0070536B" w:rsidP="00EF049F"/>
    <w:p w14:paraId="44A02B7F" w14:textId="55776C8F" w:rsidR="00FC1787" w:rsidRPr="00FC1787" w:rsidRDefault="0022677B" w:rsidP="00391335">
      <w:bookmarkStart w:id="13" w:name="_Toc114650830"/>
      <w:r w:rsidRPr="00CC067E">
        <w:rPr>
          <w:rStyle w:val="Heading3Char"/>
        </w:rPr>
        <w:t xml:space="preserve">Primary Structures Vulnerable to Riverine Flooding </w:t>
      </w:r>
      <w:r w:rsidRPr="00FC1787">
        <w:rPr>
          <w:rStyle w:val="Heading3Char"/>
        </w:rPr>
        <w:t>Floodplain</w:t>
      </w:r>
      <w:bookmarkEnd w:id="13"/>
      <w:r w:rsidRPr="00FC1787">
        <w:t>:</w:t>
      </w:r>
      <w:r w:rsidRPr="00FC1787">
        <w:rPr>
          <w:b/>
          <w:bCs/>
        </w:rPr>
        <w:t xml:space="preserve"> </w:t>
      </w:r>
      <w:r w:rsidRPr="00B2775A">
        <w:rPr>
          <w:b/>
          <w:bCs/>
          <w:color w:val="002060"/>
        </w:rPr>
        <w:t>Region 4</w:t>
      </w:r>
      <w:r w:rsidRPr="0022677B">
        <w:t xml:space="preserve"> has a total of 7,123 structures in the </w:t>
      </w:r>
      <w:r>
        <w:t>high</w:t>
      </w:r>
      <w:r w:rsidR="00391335">
        <w:t>-</w:t>
      </w:r>
      <w:r>
        <w:t>risk</w:t>
      </w:r>
      <w:r w:rsidR="00391335">
        <w:t xml:space="preserve"> effective and advisory</w:t>
      </w:r>
      <w:r>
        <w:t xml:space="preserve"> </w:t>
      </w:r>
      <w:r w:rsidRPr="0022677B">
        <w:t>1%-annual-chance</w:t>
      </w:r>
      <w:r w:rsidR="00391335">
        <w:t xml:space="preserve"> (100 yr.) </w:t>
      </w:r>
      <w:r w:rsidRPr="0022677B">
        <w:t>floodplain</w:t>
      </w:r>
      <w:r w:rsidR="00391335">
        <w:t>s</w:t>
      </w:r>
      <w:r w:rsidRPr="0022677B">
        <w:t xml:space="preserve"> valued at $525,285 million</w:t>
      </w:r>
      <w:r w:rsidR="00391335">
        <w:t>.</w:t>
      </w:r>
      <w:r w:rsidR="00FC1787" w:rsidRPr="00FC1787">
        <w:rPr>
          <w:i/>
          <w:iCs/>
        </w:rPr>
        <w:t xml:space="preserve"> </w:t>
      </w:r>
      <w:r w:rsidR="00FC1787" w:rsidRPr="00FC1787">
        <w:rPr>
          <w:b/>
          <w:bCs/>
          <w:color w:val="002060"/>
        </w:rPr>
        <w:t>Greenbrier County</w:t>
      </w:r>
      <w:r w:rsidR="00FC1787" w:rsidRPr="00FC1787">
        <w:rPr>
          <w:color w:val="1F4E79" w:themeColor="accent1" w:themeShade="80"/>
        </w:rPr>
        <w:t xml:space="preserve"> </w:t>
      </w:r>
      <w:r w:rsidR="00FC1787" w:rsidRPr="00FC1787">
        <w:t>(ranked 15</w:t>
      </w:r>
      <w:r w:rsidR="00FC1787" w:rsidRPr="00FC1787">
        <w:rPr>
          <w:vertAlign w:val="superscript"/>
        </w:rPr>
        <w:t>th</w:t>
      </w:r>
      <w:r w:rsidR="00FC1787" w:rsidRPr="00FC1787">
        <w:t xml:space="preserve"> in the State) has the highest countywide building count in the region.  </w:t>
      </w:r>
      <w:r w:rsidR="00FC1787" w:rsidRPr="00FC1787">
        <w:rPr>
          <w:b/>
          <w:bCs/>
          <w:color w:val="002060"/>
        </w:rPr>
        <w:t xml:space="preserve">Fayette County Unincorporated </w:t>
      </w:r>
      <w:r w:rsidR="00FC1787" w:rsidRPr="00FC1787">
        <w:t>(ranked 14</w:t>
      </w:r>
      <w:r w:rsidR="00FC1787" w:rsidRPr="00FC1787">
        <w:rPr>
          <w:vertAlign w:val="superscript"/>
        </w:rPr>
        <w:t>th</w:t>
      </w:r>
      <w:r w:rsidR="00FC1787" w:rsidRPr="00FC1787">
        <w:t xml:space="preserve"> for unincorporated areas) and the towns of </w:t>
      </w:r>
      <w:r w:rsidR="00FC1787" w:rsidRPr="00FC1787">
        <w:rPr>
          <w:b/>
          <w:bCs/>
          <w:color w:val="002060"/>
        </w:rPr>
        <w:t>White Sulphur Springs</w:t>
      </w:r>
      <w:r w:rsidR="00FC1787" w:rsidRPr="00FC1787">
        <w:t xml:space="preserve"> (ranked 12</w:t>
      </w:r>
      <w:r w:rsidR="00FC1787" w:rsidRPr="00FC1787">
        <w:rPr>
          <w:vertAlign w:val="superscript"/>
        </w:rPr>
        <w:t>th</w:t>
      </w:r>
      <w:r w:rsidR="00FC1787" w:rsidRPr="00FC1787">
        <w:t xml:space="preserve"> for incorporated areas) and </w:t>
      </w:r>
      <w:r w:rsidR="00FC1787" w:rsidRPr="00FC1787">
        <w:rPr>
          <w:b/>
          <w:bCs/>
          <w:color w:val="002060"/>
        </w:rPr>
        <w:t>Marlinton</w:t>
      </w:r>
      <w:r w:rsidR="00FC1787" w:rsidRPr="00FC1787">
        <w:rPr>
          <w:color w:val="1F4E79" w:themeColor="accent1" w:themeShade="80"/>
        </w:rPr>
        <w:t xml:space="preserve"> </w:t>
      </w:r>
      <w:r w:rsidR="00FC1787" w:rsidRPr="00FC1787">
        <w:t>(ranked 15</w:t>
      </w:r>
      <w:r w:rsidR="00FC1787" w:rsidRPr="00FC1787">
        <w:rPr>
          <w:vertAlign w:val="superscript"/>
        </w:rPr>
        <w:t>th</w:t>
      </w:r>
      <w:r w:rsidR="00FC1787" w:rsidRPr="00FC1787">
        <w:t>) also have high building counts.</w:t>
      </w:r>
    </w:p>
    <w:p w14:paraId="4B3E473F" w14:textId="5A67103A" w:rsidR="00BC2228" w:rsidRDefault="00BC2228" w:rsidP="00BC2228">
      <w:pPr>
        <w:rPr>
          <w:i/>
          <w:iCs/>
        </w:rPr>
      </w:pPr>
      <w:bookmarkStart w:id="14" w:name="_Toc114650831"/>
      <w:r w:rsidRPr="00BC2228">
        <w:rPr>
          <w:rStyle w:val="Heading3Char"/>
        </w:rPr>
        <w:t>Building Dollar Exposure</w:t>
      </w:r>
      <w:bookmarkEnd w:id="14"/>
      <w:r w:rsidRPr="00BC2228">
        <w:t xml:space="preserve">:  </w:t>
      </w:r>
      <w:r w:rsidRPr="00BC2228">
        <w:rPr>
          <w:b/>
          <w:bCs/>
          <w:color w:val="002060"/>
        </w:rPr>
        <w:t>Greenbrier County</w:t>
      </w:r>
      <w:r w:rsidRPr="00BC2228">
        <w:rPr>
          <w:color w:val="002060"/>
        </w:rPr>
        <w:t xml:space="preserve"> </w:t>
      </w:r>
      <w:r w:rsidRPr="00BC2228">
        <w:t>(ranked 9</w:t>
      </w:r>
      <w:r w:rsidRPr="00BC2228">
        <w:rPr>
          <w:vertAlign w:val="superscript"/>
        </w:rPr>
        <w:t>th</w:t>
      </w:r>
      <w:r w:rsidRPr="00BC2228">
        <w:t xml:space="preserve"> in the State) and the incorporated city of </w:t>
      </w:r>
      <w:r w:rsidRPr="00BC2228">
        <w:rPr>
          <w:b/>
          <w:bCs/>
          <w:color w:val="002060"/>
        </w:rPr>
        <w:t xml:space="preserve">White Sulphur Springs </w:t>
      </w:r>
      <w:r w:rsidRPr="00BC2228">
        <w:t>(ranked 20</w:t>
      </w:r>
      <w:r w:rsidRPr="00BC2228">
        <w:rPr>
          <w:vertAlign w:val="superscript"/>
        </w:rPr>
        <w:t>th</w:t>
      </w:r>
      <w:r w:rsidRPr="00BC2228">
        <w:t xml:space="preserve"> for incorporated areas) have the </w:t>
      </w:r>
      <w:r w:rsidRPr="00BC2228">
        <w:rPr>
          <w:i/>
          <w:iCs/>
        </w:rPr>
        <w:t>highest building dollar values</w:t>
      </w:r>
      <w:r w:rsidRPr="00BC2228">
        <w:t xml:space="preserve"> exposed to a 1%-annual-chance flood.  </w:t>
      </w:r>
      <w:r w:rsidRPr="00BC2228">
        <w:rPr>
          <w:i/>
          <w:iCs/>
        </w:rPr>
        <w:t>Higher building values increase substantial damage thresholds and mitigation reconstruction costs.</w:t>
      </w:r>
    </w:p>
    <w:p w14:paraId="42901392" w14:textId="77777777" w:rsidR="000B3174" w:rsidRPr="00602443" w:rsidRDefault="000B3174" w:rsidP="000B3174">
      <w:pPr>
        <w:rPr>
          <w:i/>
          <w:iCs/>
        </w:rPr>
      </w:pPr>
      <w:bookmarkStart w:id="15" w:name="_Toc114650832"/>
      <w:r w:rsidRPr="00BC2228">
        <w:rPr>
          <w:rStyle w:val="Heading3Char"/>
        </w:rPr>
        <w:t>Residential</w:t>
      </w:r>
      <w:r w:rsidRPr="00E9667C">
        <w:rPr>
          <w:rStyle w:val="Heading3Char"/>
        </w:rPr>
        <w:t>/Non-Residential</w:t>
      </w:r>
      <w:r w:rsidRPr="00BC2228">
        <w:rPr>
          <w:rStyle w:val="Heading3Char"/>
        </w:rPr>
        <w:t xml:space="preserve"> Occupancy Type</w:t>
      </w:r>
      <w:bookmarkEnd w:id="15"/>
      <w:r w:rsidRPr="00BC2228">
        <w:t xml:space="preserve">:  Most of the primary buildings in the floodplain are </w:t>
      </w:r>
      <w:r w:rsidRPr="00BC2228">
        <w:rPr>
          <w:i/>
          <w:iCs/>
        </w:rPr>
        <w:t>residential</w:t>
      </w:r>
      <w:r w:rsidRPr="00BC2228">
        <w:t xml:space="preserve">:  </w:t>
      </w:r>
      <w:r w:rsidRPr="00BC2228">
        <w:rPr>
          <w:b/>
          <w:bCs/>
          <w:color w:val="002060"/>
        </w:rPr>
        <w:t>Webster County</w:t>
      </w:r>
      <w:r w:rsidRPr="00BC2228">
        <w:t xml:space="preserve"> (92%), </w:t>
      </w:r>
      <w:r w:rsidRPr="00BC2228">
        <w:rPr>
          <w:b/>
          <w:bCs/>
          <w:color w:val="002060"/>
        </w:rPr>
        <w:t>Fayette County</w:t>
      </w:r>
      <w:r w:rsidRPr="00BC2228">
        <w:t xml:space="preserve"> (91%), </w:t>
      </w:r>
      <w:r w:rsidRPr="00BC2228">
        <w:rPr>
          <w:b/>
          <w:bCs/>
          <w:color w:val="002060"/>
        </w:rPr>
        <w:t>Greenbrier County</w:t>
      </w:r>
      <w:r w:rsidRPr="00BC2228">
        <w:t xml:space="preserve"> (87%), </w:t>
      </w:r>
      <w:r w:rsidRPr="00BC2228">
        <w:rPr>
          <w:b/>
          <w:bCs/>
          <w:color w:val="002060"/>
        </w:rPr>
        <w:t xml:space="preserve">Nicholas County </w:t>
      </w:r>
      <w:r w:rsidRPr="00BC2228">
        <w:t>(86%), and</w:t>
      </w:r>
      <w:r w:rsidRPr="00BC2228">
        <w:rPr>
          <w:color w:val="1F4E79" w:themeColor="accent1" w:themeShade="80"/>
        </w:rPr>
        <w:t xml:space="preserve"> </w:t>
      </w:r>
      <w:r w:rsidRPr="00BC2228">
        <w:rPr>
          <w:b/>
          <w:bCs/>
          <w:color w:val="002060"/>
        </w:rPr>
        <w:t>Pocahontas County</w:t>
      </w:r>
      <w:r w:rsidRPr="00BC2228">
        <w:t xml:space="preserve"> (85%).</w:t>
      </w:r>
      <w:r>
        <w:t xml:space="preserve">  Municipalities typically have a higher percentage of </w:t>
      </w:r>
      <w:r w:rsidRPr="00D70FE2">
        <w:rPr>
          <w:i/>
          <w:iCs/>
        </w:rPr>
        <w:t>non-residential</w:t>
      </w:r>
      <w:r>
        <w:t xml:space="preserve"> structures, such as the towns of </w:t>
      </w:r>
      <w:r w:rsidRPr="00B2775A">
        <w:rPr>
          <w:b/>
          <w:bCs/>
          <w:color w:val="002060"/>
        </w:rPr>
        <w:t>Gauley Bridge</w:t>
      </w:r>
      <w:r w:rsidRPr="00B2775A">
        <w:rPr>
          <w:b/>
          <w:bCs/>
          <w:color w:val="1F4E79" w:themeColor="accent1" w:themeShade="80"/>
        </w:rPr>
        <w:t xml:space="preserve"> </w:t>
      </w:r>
      <w:r>
        <w:t xml:space="preserve">(53%) and </w:t>
      </w:r>
      <w:r w:rsidRPr="00B2775A">
        <w:rPr>
          <w:b/>
          <w:bCs/>
          <w:color w:val="002060"/>
        </w:rPr>
        <w:t>Ronceverte</w:t>
      </w:r>
      <w:r w:rsidRPr="00B2775A">
        <w:rPr>
          <w:b/>
          <w:bCs/>
          <w:color w:val="1F4E79" w:themeColor="accent1" w:themeShade="80"/>
        </w:rPr>
        <w:t xml:space="preserve"> </w:t>
      </w:r>
      <w:r>
        <w:t>(49%) in which half the structures are non-residential.</w:t>
      </w:r>
      <w:r w:rsidRPr="00BC2228">
        <w:t xml:space="preserve">  </w:t>
      </w:r>
      <w:r w:rsidRPr="00602443">
        <w:rPr>
          <w:i/>
          <w:iCs/>
        </w:rPr>
        <w:t xml:space="preserve">The </w:t>
      </w:r>
      <w:r>
        <w:rPr>
          <w:i/>
          <w:iCs/>
        </w:rPr>
        <w:t xml:space="preserve">specified </w:t>
      </w:r>
      <w:r w:rsidRPr="00602443">
        <w:rPr>
          <w:i/>
          <w:iCs/>
        </w:rPr>
        <w:t>residential/non-residential occupancy class</w:t>
      </w:r>
      <w:r>
        <w:rPr>
          <w:i/>
          <w:iCs/>
        </w:rPr>
        <w:t xml:space="preserve"> according to structure use or structure type</w:t>
      </w:r>
      <w:r w:rsidRPr="00602443">
        <w:rPr>
          <w:i/>
          <w:iCs/>
        </w:rPr>
        <w:t xml:space="preserve"> is an important requirement for multiple flood reduction programs, activities, and products</w:t>
      </w:r>
      <w:r>
        <w:rPr>
          <w:i/>
          <w:iCs/>
        </w:rPr>
        <w:t xml:space="preserve">: </w:t>
      </w:r>
      <w:r w:rsidRPr="00602443">
        <w:rPr>
          <w:i/>
          <w:iCs/>
        </w:rPr>
        <w:t xml:space="preserve"> FEMA's NFIP Specific Rating Guidelines, Substantial Damage Estimator (SDE) Tool, Community Rating System (CRS 214) Program Data Table, Hazus Flood Loss Estimation Models, Non-Residential Mitigation Measures; WV Flood Tool's Risk MAP View (</w:t>
      </w:r>
      <w:r w:rsidRPr="00602443">
        <w:rPr>
          <w:b/>
          <w:bCs/>
          <w:i/>
          <w:iCs/>
        </w:rPr>
        <w:t>R</w:t>
      </w:r>
      <w:r w:rsidRPr="00602443">
        <w:rPr>
          <w:i/>
          <w:iCs/>
        </w:rPr>
        <w:t xml:space="preserve">esidential, </w:t>
      </w:r>
      <w:r w:rsidRPr="00602443">
        <w:rPr>
          <w:b/>
          <w:bCs/>
          <w:i/>
          <w:iCs/>
        </w:rPr>
        <w:t>C</w:t>
      </w:r>
      <w:r w:rsidRPr="00602443">
        <w:rPr>
          <w:i/>
          <w:iCs/>
        </w:rPr>
        <w:t xml:space="preserve">ommercial, and </w:t>
      </w:r>
      <w:r w:rsidRPr="00602443">
        <w:rPr>
          <w:b/>
          <w:bCs/>
          <w:i/>
          <w:iCs/>
        </w:rPr>
        <w:t>O</w:t>
      </w:r>
      <w:r w:rsidRPr="00602443">
        <w:rPr>
          <w:i/>
          <w:iCs/>
        </w:rPr>
        <w:t>ther Non-Residential).</w:t>
      </w:r>
      <w:r>
        <w:rPr>
          <w:i/>
          <w:iCs/>
        </w:rPr>
        <w:t xml:space="preserve">  Mitigation solutions are often defined by the occupancy type (residential/non-residential) and replacement cost.  </w:t>
      </w:r>
    </w:p>
    <w:p w14:paraId="3C635708" w14:textId="77777777" w:rsidR="000B3174" w:rsidRDefault="000B3174" w:rsidP="00752E6C"/>
    <w:p w14:paraId="44734DA5" w14:textId="77777777" w:rsidR="000B3174" w:rsidRDefault="000B3174" w:rsidP="00752E6C"/>
    <w:p w14:paraId="3A90DB66" w14:textId="1214D670" w:rsidR="00752E6C" w:rsidRPr="00071CB2" w:rsidRDefault="00752E6C" w:rsidP="00752E6C">
      <w:r>
        <w:t xml:space="preserve">Residential Structure Type:   The majority of the residential structures (&lt;= 4 units) valued at more than $1 million dollars for both </w:t>
      </w:r>
      <w:r w:rsidRPr="00656CBF">
        <w:rPr>
          <w:b/>
          <w:bCs/>
          <w:color w:val="002060"/>
        </w:rPr>
        <w:t xml:space="preserve">Region 4 </w:t>
      </w:r>
      <w:r>
        <w:t xml:space="preserve">and the </w:t>
      </w:r>
      <w:r w:rsidRPr="00656CBF">
        <w:rPr>
          <w:b/>
          <w:bCs/>
          <w:color w:val="002060"/>
        </w:rPr>
        <w:t>State</w:t>
      </w:r>
      <w:r>
        <w:t xml:space="preserve"> are located along </w:t>
      </w:r>
      <w:r w:rsidRPr="00656CBF">
        <w:rPr>
          <w:i/>
          <w:iCs/>
        </w:rPr>
        <w:t xml:space="preserve">Howard Creek </w:t>
      </w:r>
      <w:r>
        <w:t xml:space="preserve">in </w:t>
      </w:r>
      <w:r w:rsidRPr="00656CBF">
        <w:rPr>
          <w:b/>
          <w:bCs/>
          <w:color w:val="002060"/>
        </w:rPr>
        <w:t>Greenbrier County</w:t>
      </w:r>
      <w:r>
        <w:t xml:space="preserve">.  In fact, </w:t>
      </w:r>
      <w:r w:rsidRPr="00071CB2">
        <w:t>74% of million-dollar structures in State are located along Howard Creek</w:t>
      </w:r>
      <w:r>
        <w:t>.  It is expected that some of these structures will be removed from the 1%-annual-chance floodplain when the preliminary study flood maps</w:t>
      </w:r>
      <w:r w:rsidRPr="00071CB2">
        <w:t xml:space="preserve"> </w:t>
      </w:r>
      <w:r>
        <w:t>become effective.</w:t>
      </w:r>
    </w:p>
    <w:p w14:paraId="16F9ABB3" w14:textId="793A70CC" w:rsidR="00391335" w:rsidRDefault="00391335" w:rsidP="00DC4035">
      <w:r w:rsidRPr="00391335">
        <w:t>Non-Residential</w:t>
      </w:r>
      <w:r w:rsidR="00D27477">
        <w:t xml:space="preserve"> Structure Type</w:t>
      </w:r>
      <w:r>
        <w:t>:  The top non-residential structures in the 1%</w:t>
      </w:r>
      <w:r w:rsidR="00DC4035">
        <w:t>-</w:t>
      </w:r>
      <w:r>
        <w:t>annual</w:t>
      </w:r>
      <w:r w:rsidR="00DC4035">
        <w:t>-</w:t>
      </w:r>
      <w:r>
        <w:t xml:space="preserve">chance floodplain with the highest building value are the </w:t>
      </w:r>
      <w:r w:rsidRPr="00656CBF">
        <w:rPr>
          <w:b/>
          <w:bCs/>
          <w:color w:val="002060"/>
        </w:rPr>
        <w:t>Ronceverte Wastewater Treatment Plan</w:t>
      </w:r>
      <w:r w:rsidR="00656CBF" w:rsidRPr="00656CBF">
        <w:rPr>
          <w:b/>
          <w:bCs/>
          <w:color w:val="002060"/>
        </w:rPr>
        <w:t>t</w:t>
      </w:r>
      <w:r>
        <w:t xml:space="preserve"> ($24M)</w:t>
      </w:r>
      <w:r w:rsidR="00B74470">
        <w:t xml:space="preserve"> and </w:t>
      </w:r>
      <w:r w:rsidR="00B74470" w:rsidRPr="00656CBF">
        <w:rPr>
          <w:rFonts w:ascii="Calibri" w:eastAsia="Times New Roman" w:hAnsi="Calibri" w:cs="Times New Roman"/>
          <w:b/>
          <w:bCs/>
          <w:color w:val="002060"/>
        </w:rPr>
        <w:t xml:space="preserve">White Sulphur Springs (Caldwell) Wastewater Treatment Plant </w:t>
      </w:r>
      <w:r w:rsidR="00B74470">
        <w:rPr>
          <w:rFonts w:ascii="Calibri" w:eastAsia="Times New Roman" w:hAnsi="Calibri" w:cs="Times New Roman"/>
          <w:color w:val="000000"/>
        </w:rPr>
        <w:t>($17M)</w:t>
      </w:r>
      <w:r w:rsidR="00B74470">
        <w:t xml:space="preserve"> in Greenbrier County</w:t>
      </w:r>
      <w:r>
        <w:t xml:space="preserve">, </w:t>
      </w:r>
      <w:r w:rsidR="00B74470" w:rsidRPr="00656CBF">
        <w:rPr>
          <w:b/>
          <w:bCs/>
          <w:color w:val="002060"/>
        </w:rPr>
        <w:t>Summers</w:t>
      </w:r>
      <w:r w:rsidR="00DC4035" w:rsidRPr="00656CBF">
        <w:rPr>
          <w:b/>
          <w:bCs/>
          <w:color w:val="002060"/>
        </w:rPr>
        <w:t>ville</w:t>
      </w:r>
      <w:r w:rsidR="00B74470" w:rsidRPr="00656CBF">
        <w:rPr>
          <w:b/>
          <w:bCs/>
          <w:color w:val="002060"/>
        </w:rPr>
        <w:t xml:space="preserve"> Wastewater Treatment Plant </w:t>
      </w:r>
      <w:r w:rsidR="00B74470">
        <w:t xml:space="preserve">($10M) in Nicholas County, </w:t>
      </w:r>
      <w:r w:rsidR="005F79EE" w:rsidRPr="00656CBF">
        <w:rPr>
          <w:b/>
          <w:bCs/>
          <w:color w:val="002060"/>
        </w:rPr>
        <w:t xml:space="preserve">Hacker Valley School </w:t>
      </w:r>
      <w:r w:rsidR="005F79EE">
        <w:t>($9M)</w:t>
      </w:r>
      <w:r w:rsidR="00B74470">
        <w:t xml:space="preserve"> in Webster County</w:t>
      </w:r>
      <w:r w:rsidR="005F79EE">
        <w:t xml:space="preserve">, </w:t>
      </w:r>
      <w:r w:rsidRPr="00656CBF">
        <w:rPr>
          <w:b/>
          <w:bCs/>
          <w:color w:val="002060"/>
        </w:rPr>
        <w:t xml:space="preserve">White Sulphur Springs Elementary School </w:t>
      </w:r>
      <w:r>
        <w:t>($8.5M)</w:t>
      </w:r>
      <w:r w:rsidR="00B74470">
        <w:t xml:space="preserve"> in Greenbrier County</w:t>
      </w:r>
      <w:r>
        <w:t xml:space="preserve">, </w:t>
      </w:r>
      <w:r w:rsidR="007E275D" w:rsidRPr="00656CBF">
        <w:rPr>
          <w:b/>
          <w:bCs/>
          <w:color w:val="002060"/>
        </w:rPr>
        <w:t>Pocahontas Center</w:t>
      </w:r>
      <w:r w:rsidR="00656CBF" w:rsidRPr="00656CBF">
        <w:rPr>
          <w:b/>
          <w:bCs/>
          <w:color w:val="002060"/>
        </w:rPr>
        <w:t xml:space="preserve"> (Marlinton)</w:t>
      </w:r>
      <w:r w:rsidR="007E275D" w:rsidRPr="00656CBF">
        <w:rPr>
          <w:b/>
          <w:bCs/>
          <w:color w:val="002060"/>
        </w:rPr>
        <w:t xml:space="preserve"> Nursing Home</w:t>
      </w:r>
      <w:r w:rsidR="00D27477">
        <w:t xml:space="preserve"> ($5.3M) and </w:t>
      </w:r>
      <w:r w:rsidR="00D27477" w:rsidRPr="00656CBF">
        <w:rPr>
          <w:b/>
          <w:bCs/>
          <w:color w:val="002060"/>
        </w:rPr>
        <w:t>Marlinton Elementary School</w:t>
      </w:r>
      <w:r w:rsidR="00D27477">
        <w:t xml:space="preserve"> ($5M) in Pocahontas County,</w:t>
      </w:r>
      <w:r w:rsidR="007E275D">
        <w:t xml:space="preserve"> </w:t>
      </w:r>
      <w:r w:rsidR="00D27477" w:rsidRPr="00656CBF">
        <w:rPr>
          <w:b/>
          <w:bCs/>
          <w:color w:val="002060"/>
        </w:rPr>
        <w:t>Cowen Public Service District Wastewater Treatment Plan</w:t>
      </w:r>
      <w:r w:rsidR="00D27477" w:rsidRPr="00D27477">
        <w:t>t</w:t>
      </w:r>
      <w:r w:rsidR="00D27477">
        <w:t xml:space="preserve"> ($7M) in Webster County, </w:t>
      </w:r>
      <w:r>
        <w:t>and</w:t>
      </w:r>
      <w:r w:rsidRPr="00656CBF">
        <w:rPr>
          <w:b/>
          <w:bCs/>
          <w:color w:val="002060"/>
        </w:rPr>
        <w:t xml:space="preserve"> Anthony Correction Center</w:t>
      </w:r>
      <w:r w:rsidR="00B74470">
        <w:t xml:space="preserve"> </w:t>
      </w:r>
      <w:r>
        <w:t>(</w:t>
      </w:r>
      <w:r w:rsidR="007E275D">
        <w:t>$4M)</w:t>
      </w:r>
      <w:r w:rsidR="00D27477">
        <w:t xml:space="preserve"> in Greenbrier County</w:t>
      </w:r>
      <w:r w:rsidR="00DC4035">
        <w:t xml:space="preserve">, and </w:t>
      </w:r>
      <w:r w:rsidR="00DC4035" w:rsidRPr="00656CBF">
        <w:rPr>
          <w:b/>
          <w:bCs/>
          <w:color w:val="002060"/>
        </w:rPr>
        <w:t>White Oak Public Service District Wastewater Treatment Plant</w:t>
      </w:r>
      <w:r w:rsidR="00DC4035">
        <w:t xml:space="preserve"> ($4M</w:t>
      </w:r>
      <w:r w:rsidR="00656CBF">
        <w:t>)</w:t>
      </w:r>
      <w:r w:rsidR="00DC4035">
        <w:t xml:space="preserve"> in Fayette County</w:t>
      </w:r>
      <w:r w:rsidR="007E275D">
        <w:t>.  New flood studies and maps conducted by FEMA may remove some of these highly valued structures from the 1%-annual-chance (100-yr.) floodplain but not from the higher standard 0.2%</w:t>
      </w:r>
      <w:r w:rsidR="00DC4035">
        <w:t>-annual-chance (500 yr.)</w:t>
      </w:r>
      <w:r w:rsidR="007E275D">
        <w:t xml:space="preserve"> floodplain.</w:t>
      </w:r>
    </w:p>
    <w:p w14:paraId="2F402B15" w14:textId="54504E73" w:rsidR="00BC2228" w:rsidRPr="00BC2228" w:rsidRDefault="00BC2228" w:rsidP="00BC2228">
      <w:bookmarkStart w:id="16" w:name="_Toc114650833"/>
      <w:r w:rsidRPr="00BC2228">
        <w:rPr>
          <w:rStyle w:val="Heading3Char"/>
        </w:rPr>
        <w:t>Median Building Replacement Value</w:t>
      </w:r>
      <w:bookmarkEnd w:id="16"/>
      <w:r w:rsidRPr="00BC2228">
        <w:t xml:space="preserve">: </w:t>
      </w:r>
      <w:r w:rsidR="00FC1787">
        <w:t xml:space="preserve"> </w:t>
      </w:r>
      <w:r w:rsidRPr="00BC2228">
        <w:rPr>
          <w:b/>
          <w:bCs/>
          <w:color w:val="002060"/>
        </w:rPr>
        <w:t>Greenbrie</w:t>
      </w:r>
      <w:r w:rsidRPr="00BC2228">
        <w:rPr>
          <w:color w:val="002060"/>
        </w:rPr>
        <w:t xml:space="preserve">r </w:t>
      </w:r>
      <w:r w:rsidRPr="00BC2228">
        <w:t xml:space="preserve">($43K) and </w:t>
      </w:r>
      <w:r w:rsidRPr="00BC2228">
        <w:rPr>
          <w:b/>
          <w:bCs/>
          <w:color w:val="002060"/>
        </w:rPr>
        <w:t>Pocahontas</w:t>
      </w:r>
      <w:r w:rsidRPr="00BC2228">
        <w:t xml:space="preserve"> ($34K) </w:t>
      </w:r>
      <w:r w:rsidRPr="00BC2228">
        <w:rPr>
          <w:color w:val="000000" w:themeColor="text1"/>
        </w:rPr>
        <w:t>counties</w:t>
      </w:r>
      <w:r w:rsidRPr="00BC2228">
        <w:t xml:space="preserve"> rank 32</w:t>
      </w:r>
      <w:r w:rsidRPr="00BC2228">
        <w:rPr>
          <w:vertAlign w:val="superscript"/>
        </w:rPr>
        <w:t>nd</w:t>
      </w:r>
      <w:r w:rsidRPr="00BC2228">
        <w:t xml:space="preserve"> and 43</w:t>
      </w:r>
      <w:r w:rsidRPr="00BC2228">
        <w:rPr>
          <w:vertAlign w:val="superscript"/>
        </w:rPr>
        <w:t>rd</w:t>
      </w:r>
      <w:r w:rsidRPr="00BC2228">
        <w:t>, respectively, in the State for countywide median single-family dwelling (RES 1 Occupancy Class) replacement value. The value for Greenbrier County is close to the statewide median single family dwelling value of $44,000.</w:t>
      </w:r>
    </w:p>
    <w:p w14:paraId="057C2E0F" w14:textId="77777777" w:rsidR="00760F6E" w:rsidRPr="00760F6E" w:rsidRDefault="00760F6E" w:rsidP="00760F6E">
      <w:bookmarkStart w:id="17" w:name="_Toc114650834"/>
      <w:r w:rsidRPr="00760F6E">
        <w:rPr>
          <w:rStyle w:val="Heading3Char"/>
        </w:rPr>
        <w:t>Owner Occupied</w:t>
      </w:r>
      <w:bookmarkEnd w:id="17"/>
      <w:r w:rsidRPr="00760F6E">
        <w:t xml:space="preserve">: </w:t>
      </w:r>
      <w:r w:rsidRPr="00760F6E">
        <w:rPr>
          <w:b/>
          <w:bCs/>
        </w:rPr>
        <w:t xml:space="preserve"> </w:t>
      </w:r>
      <w:r w:rsidRPr="00760F6E">
        <w:t xml:space="preserve">Of the residential buildings, most of the building stock is </w:t>
      </w:r>
      <w:r w:rsidRPr="00760F6E">
        <w:rPr>
          <w:i/>
          <w:iCs/>
        </w:rPr>
        <w:t>owner-occupied</w:t>
      </w:r>
      <w:r w:rsidRPr="00760F6E">
        <w:t xml:space="preserve">:  </w:t>
      </w:r>
      <w:r w:rsidRPr="00760F6E">
        <w:rPr>
          <w:b/>
          <w:bCs/>
          <w:color w:val="002060"/>
        </w:rPr>
        <w:t>Nicholas</w:t>
      </w:r>
      <w:r w:rsidRPr="00760F6E">
        <w:rPr>
          <w:color w:val="1F4E79" w:themeColor="accent1" w:themeShade="80"/>
        </w:rPr>
        <w:t xml:space="preserve"> </w:t>
      </w:r>
      <w:r w:rsidRPr="00760F6E">
        <w:t>(82%),</w:t>
      </w:r>
      <w:r w:rsidRPr="00760F6E">
        <w:rPr>
          <w:color w:val="002060"/>
        </w:rPr>
        <w:t xml:space="preserve"> </w:t>
      </w:r>
      <w:r w:rsidRPr="00760F6E">
        <w:rPr>
          <w:b/>
          <w:bCs/>
          <w:color w:val="002060"/>
        </w:rPr>
        <w:t>Fayette</w:t>
      </w:r>
      <w:r w:rsidRPr="00760F6E">
        <w:t xml:space="preserve"> (79%), </w:t>
      </w:r>
      <w:r w:rsidRPr="00760F6E">
        <w:rPr>
          <w:b/>
          <w:bCs/>
          <w:color w:val="002060"/>
        </w:rPr>
        <w:t>Pocahontas</w:t>
      </w:r>
      <w:r w:rsidRPr="00760F6E">
        <w:rPr>
          <w:color w:val="002060"/>
        </w:rPr>
        <w:t xml:space="preserve"> </w:t>
      </w:r>
      <w:r w:rsidRPr="00760F6E">
        <w:t xml:space="preserve">(72%), </w:t>
      </w:r>
      <w:r w:rsidRPr="00760F6E">
        <w:rPr>
          <w:b/>
          <w:bCs/>
          <w:color w:val="002060"/>
        </w:rPr>
        <w:t>Webster</w:t>
      </w:r>
      <w:r w:rsidRPr="00760F6E">
        <w:t xml:space="preserve"> (70%), and</w:t>
      </w:r>
      <w:r w:rsidRPr="00760F6E">
        <w:rPr>
          <w:color w:val="002060"/>
        </w:rPr>
        <w:t xml:space="preserve"> </w:t>
      </w:r>
      <w:r w:rsidRPr="00760F6E">
        <w:rPr>
          <w:b/>
          <w:bCs/>
          <w:color w:val="002060"/>
        </w:rPr>
        <w:t>Greenbrier</w:t>
      </w:r>
      <w:r w:rsidRPr="00760F6E">
        <w:rPr>
          <w:color w:val="002060"/>
        </w:rPr>
        <w:t xml:space="preserve"> </w:t>
      </w:r>
      <w:r w:rsidRPr="00760F6E">
        <w:t xml:space="preserve">(66%).  </w:t>
      </w:r>
      <w:r w:rsidRPr="00760F6E">
        <w:rPr>
          <w:i/>
          <w:iCs/>
        </w:rPr>
        <w:t>Renters may not have flood insurance and be at higher risk.</w:t>
      </w:r>
    </w:p>
    <w:p w14:paraId="71B1E6D3" w14:textId="270F12E5" w:rsidR="00760F6E" w:rsidRPr="00BC2228" w:rsidRDefault="003E3174" w:rsidP="00760F6E">
      <w:bookmarkStart w:id="18" w:name="_Toc114650835"/>
      <w:r>
        <w:rPr>
          <w:rStyle w:val="Heading3Char"/>
        </w:rPr>
        <w:t xml:space="preserve">The </w:t>
      </w:r>
      <w:r w:rsidR="00760F6E" w:rsidRPr="00BC2228">
        <w:rPr>
          <w:rStyle w:val="Heading3Char"/>
        </w:rPr>
        <w:t>Manufactured Homes</w:t>
      </w:r>
      <w:bookmarkEnd w:id="18"/>
      <w:r w:rsidR="00760F6E" w:rsidRPr="00BC2228">
        <w:t xml:space="preserve">:  </w:t>
      </w:r>
      <w:r w:rsidR="00760F6E" w:rsidRPr="00BC2228">
        <w:rPr>
          <w:b/>
          <w:bCs/>
          <w:color w:val="002060"/>
        </w:rPr>
        <w:t xml:space="preserve">Webster County Unincorporated </w:t>
      </w:r>
      <w:r w:rsidR="00760F6E" w:rsidRPr="00BC2228">
        <w:t>(ranked 28</w:t>
      </w:r>
      <w:r w:rsidR="00760F6E" w:rsidRPr="00BC2228">
        <w:rPr>
          <w:vertAlign w:val="superscript"/>
        </w:rPr>
        <w:t>th</w:t>
      </w:r>
      <w:r w:rsidR="00760F6E" w:rsidRPr="00BC2228">
        <w:t xml:space="preserve"> in the State) has the highest percentage (28%) of </w:t>
      </w:r>
      <w:r w:rsidR="00760F6E" w:rsidRPr="00BC2228">
        <w:rPr>
          <w:i/>
          <w:iCs/>
        </w:rPr>
        <w:t>manufactured homes</w:t>
      </w:r>
      <w:r w:rsidR="00760F6E" w:rsidRPr="00BC2228">
        <w:t xml:space="preserve"> for </w:t>
      </w:r>
      <w:r w:rsidR="00760F6E" w:rsidRPr="00BC2228">
        <w:rPr>
          <w:i/>
          <w:iCs/>
        </w:rPr>
        <w:t>single family dwelling</w:t>
      </w:r>
      <w:r w:rsidR="00760F6E" w:rsidRPr="00BC2228">
        <w:t xml:space="preserve"> building stock. The town of </w:t>
      </w:r>
      <w:r w:rsidR="00760F6E" w:rsidRPr="00BC2228">
        <w:rPr>
          <w:b/>
          <w:bCs/>
          <w:color w:val="002060"/>
        </w:rPr>
        <w:t>Cowen</w:t>
      </w:r>
      <w:r w:rsidR="00760F6E" w:rsidRPr="00BC2228">
        <w:rPr>
          <w:color w:val="002060"/>
        </w:rPr>
        <w:t xml:space="preserve"> </w:t>
      </w:r>
      <w:r w:rsidR="00760F6E" w:rsidRPr="00BC2228">
        <w:t>(ranked 10</w:t>
      </w:r>
      <w:r w:rsidR="00760F6E" w:rsidRPr="00BC2228">
        <w:rPr>
          <w:vertAlign w:val="superscript"/>
        </w:rPr>
        <w:t>th</w:t>
      </w:r>
      <w:r w:rsidR="00760F6E" w:rsidRPr="00BC2228">
        <w:t xml:space="preserve"> for incorporated areas) also has a high percentage (54%).  </w:t>
      </w:r>
      <w:r w:rsidR="00760F6E" w:rsidRPr="00BC2228">
        <w:rPr>
          <w:i/>
          <w:iCs/>
        </w:rPr>
        <w:t xml:space="preserve">Lighter-weight manufactured homes are more vulnerable to flood damage. </w:t>
      </w:r>
    </w:p>
    <w:p w14:paraId="31BB9273" w14:textId="77777777" w:rsidR="00113C93" w:rsidRDefault="00760F6E" w:rsidP="00BC2228">
      <w:pPr>
        <w:rPr>
          <w:i/>
          <w:iCs/>
        </w:rPr>
      </w:pPr>
      <w:bookmarkStart w:id="19" w:name="_Toc114650836"/>
      <w:r w:rsidRPr="00E9667C">
        <w:rPr>
          <w:rStyle w:val="Heading3Char"/>
        </w:rPr>
        <w:t>Historical Structures (Building Year)</w:t>
      </w:r>
      <w:bookmarkEnd w:id="19"/>
      <w:r w:rsidRPr="00BC2228">
        <w:t xml:space="preserve">:  The cities of </w:t>
      </w:r>
      <w:r w:rsidRPr="00BC2228">
        <w:rPr>
          <w:b/>
          <w:bCs/>
          <w:color w:val="002060"/>
        </w:rPr>
        <w:t>Mount Hope</w:t>
      </w:r>
      <w:r w:rsidRPr="00BC2228">
        <w:rPr>
          <w:color w:val="1F4E79" w:themeColor="accent1" w:themeShade="80"/>
        </w:rPr>
        <w:t xml:space="preserve"> </w:t>
      </w:r>
      <w:r w:rsidRPr="00BC2228">
        <w:t xml:space="preserve">and </w:t>
      </w:r>
      <w:r w:rsidRPr="00BC2228">
        <w:rPr>
          <w:b/>
          <w:bCs/>
          <w:color w:val="002060"/>
        </w:rPr>
        <w:t>Ronceverte</w:t>
      </w:r>
      <w:r w:rsidRPr="00BC2228">
        <w:t xml:space="preserve"> are two of the oldest communities in the region with </w:t>
      </w:r>
      <w:r w:rsidRPr="00BC2228">
        <w:rPr>
          <w:i/>
          <w:iCs/>
        </w:rPr>
        <w:t>building year median values</w:t>
      </w:r>
      <w:r w:rsidRPr="00BC2228">
        <w:t xml:space="preserve"> of 1920.  </w:t>
      </w:r>
      <w:r w:rsidR="00113C93" w:rsidRPr="00113C93">
        <w:rPr>
          <w:i/>
          <w:iCs/>
        </w:rPr>
        <w:t>A designated historic structure can obtain the benefit of subsidized flood insurance through the NFIP even if it has been substantially improved or substantially damaged so long as the building maintains its historic designation.</w:t>
      </w:r>
    </w:p>
    <w:p w14:paraId="500F159B" w14:textId="22FEB568" w:rsidR="00602443" w:rsidRPr="000F738B" w:rsidRDefault="00760F6E" w:rsidP="00BC2228">
      <w:pPr>
        <w:rPr>
          <w:i/>
          <w:iCs/>
        </w:rPr>
      </w:pPr>
      <w:bookmarkStart w:id="20" w:name="_Toc114650837"/>
      <w:r w:rsidRPr="00E9667C">
        <w:rPr>
          <w:rStyle w:val="Heading3Char"/>
        </w:rPr>
        <w:t>New Development (Building Year and FIRM Status)</w:t>
      </w:r>
      <w:bookmarkEnd w:id="20"/>
      <w:r>
        <w:t xml:space="preserve">:  </w:t>
      </w:r>
      <w:r w:rsidRPr="000F360D">
        <w:rPr>
          <w:b/>
          <w:bCs/>
          <w:color w:val="002060"/>
        </w:rPr>
        <w:t>Webster County</w:t>
      </w:r>
      <w:r w:rsidRPr="005B1090">
        <w:rPr>
          <w:b/>
          <w:bCs/>
          <w:color w:val="1F4E79" w:themeColor="accent1" w:themeShade="80"/>
        </w:rPr>
        <w:t xml:space="preserve"> </w:t>
      </w:r>
      <w:r w:rsidRPr="00760F6E">
        <w:t>ranks 27</w:t>
      </w:r>
      <w:r w:rsidRPr="00760F6E">
        <w:rPr>
          <w:vertAlign w:val="superscript"/>
        </w:rPr>
        <w:t>th</w:t>
      </w:r>
      <w:r w:rsidRPr="00760F6E">
        <w:t xml:space="preserve"> in the State for the highest percentage of </w:t>
      </w:r>
      <w:r>
        <w:rPr>
          <w:i/>
          <w:iCs/>
        </w:rPr>
        <w:t>p</w:t>
      </w:r>
      <w:r w:rsidRPr="00760F6E">
        <w:rPr>
          <w:i/>
          <w:iCs/>
        </w:rPr>
        <w:t xml:space="preserve">ost-FIRM structures </w:t>
      </w:r>
      <w:r w:rsidRPr="00760F6E">
        <w:t>or new development</w:t>
      </w:r>
      <w:r w:rsidR="008935E2">
        <w:t xml:space="preserve"> since the initial flood maps became effective and floodplain development standards adopted by communities.</w:t>
      </w:r>
      <w:r w:rsidR="00716087">
        <w:t xml:space="preserve">  </w:t>
      </w:r>
      <w:r w:rsidR="00716087" w:rsidRPr="000F738B">
        <w:rPr>
          <w:i/>
          <w:iCs/>
        </w:rPr>
        <w:t>Post-FIRM structures should be built according to the floodplain development standards set forth in the local floodplain management ordinance.</w:t>
      </w:r>
      <w:r w:rsidR="008935E2" w:rsidRPr="000F738B">
        <w:rPr>
          <w:i/>
          <w:iCs/>
        </w:rPr>
        <w:t xml:space="preserve">  </w:t>
      </w:r>
      <w:r w:rsidRPr="000F738B">
        <w:rPr>
          <w:i/>
          <w:iCs/>
        </w:rPr>
        <w:t xml:space="preserve">  </w:t>
      </w:r>
    </w:p>
    <w:p w14:paraId="4BB508F3" w14:textId="79A9DF1B" w:rsidR="00760F6E" w:rsidRDefault="00760F6E" w:rsidP="00BC2228"/>
    <w:p w14:paraId="15E17777" w14:textId="77777777" w:rsidR="00D65F56" w:rsidRDefault="008935E2" w:rsidP="00D65F56">
      <w:pPr>
        <w:pStyle w:val="Heading1"/>
        <w:rPr>
          <w:rStyle w:val="Heading1Char"/>
        </w:rPr>
      </w:pPr>
      <w:bookmarkStart w:id="21" w:name="_Toc114650838"/>
      <w:r w:rsidRPr="00D65F56">
        <w:rPr>
          <w:rStyle w:val="Heading1Char"/>
        </w:rPr>
        <w:lastRenderedPageBreak/>
        <w:t xml:space="preserve">SIGNIFCANT </w:t>
      </w:r>
      <w:r w:rsidR="00D65F56">
        <w:rPr>
          <w:rStyle w:val="Heading1Char"/>
        </w:rPr>
        <w:t>STRUCTURES</w:t>
      </w:r>
      <w:r w:rsidRPr="00D65F56">
        <w:rPr>
          <w:rStyle w:val="Heading1Char"/>
        </w:rPr>
        <w:t xml:space="preserve"> OF IMPORTANCE</w:t>
      </w:r>
      <w:bookmarkEnd w:id="21"/>
    </w:p>
    <w:p w14:paraId="35024070" w14:textId="05B0C37C" w:rsidR="008935E2" w:rsidRPr="008935E2" w:rsidRDefault="008935E2" w:rsidP="008935E2">
      <w:r>
        <w:br/>
      </w:r>
      <w:r w:rsidRPr="008935E2">
        <w:rPr>
          <w:i/>
          <w:iCs/>
        </w:rPr>
        <w:t>What critical facilities are at risk?</w:t>
      </w:r>
    </w:p>
    <w:p w14:paraId="66C4BFCD" w14:textId="77777777" w:rsidR="000203A5" w:rsidRDefault="008935E2" w:rsidP="00E9667C">
      <w:pPr>
        <w:pStyle w:val="Heading2"/>
      </w:pPr>
      <w:bookmarkStart w:id="22" w:name="_Toc114650839"/>
      <w:r w:rsidRPr="008935E2">
        <w:t>Essential Facilities</w:t>
      </w:r>
      <w:bookmarkEnd w:id="22"/>
    </w:p>
    <w:p w14:paraId="5D6380AC" w14:textId="3C8E7966" w:rsidR="000203A5" w:rsidRPr="000203A5" w:rsidRDefault="000203A5" w:rsidP="000203A5">
      <w:r w:rsidRPr="000203A5">
        <w:t xml:space="preserve">Essential facilities </w:t>
      </w:r>
      <w:r>
        <w:t xml:space="preserve">provide critical services to the community and include police and fire stations, E-911 emergency operations centers, schools (often used as shelters), hospitals, and nursing homes.  FEMA identifies these critical facilities as </w:t>
      </w:r>
      <w:r>
        <w:rPr>
          <w:i/>
          <w:iCs/>
        </w:rPr>
        <w:t xml:space="preserve">essential </w:t>
      </w:r>
      <w:r>
        <w:t>in its Hazus-MH risk assessment tool.</w:t>
      </w:r>
    </w:p>
    <w:p w14:paraId="7B87E213" w14:textId="41494523" w:rsidR="00776FF9" w:rsidRPr="00776FF9" w:rsidRDefault="00776FF9" w:rsidP="008935E2">
      <w:bookmarkStart w:id="23" w:name="_Toc114650840"/>
      <w:r w:rsidRPr="00E9667C">
        <w:rPr>
          <w:rStyle w:val="Heading3Char"/>
        </w:rPr>
        <w:t xml:space="preserve">Essential Facilities </w:t>
      </w:r>
      <w:r w:rsidR="00E9667C" w:rsidRPr="00E9667C">
        <w:rPr>
          <w:rStyle w:val="Heading3Char"/>
        </w:rPr>
        <w:t>Vulnerable to Riverine Flooding</w:t>
      </w:r>
      <w:bookmarkEnd w:id="23"/>
      <w:r w:rsidRPr="00776FF9">
        <w:t>:</w:t>
      </w:r>
      <w:r>
        <w:t xml:space="preserve">  A total of 37</w:t>
      </w:r>
      <w:r w:rsidR="00AF285D">
        <w:t xml:space="preserve"> essential</w:t>
      </w:r>
      <w:r>
        <w:t xml:space="preserve"> facilities are exposed to flood risk.  There are 25 facilities in the high risk </w:t>
      </w:r>
      <w:r>
        <w:rPr>
          <w:i/>
          <w:iCs/>
        </w:rPr>
        <w:t>effective</w:t>
      </w:r>
      <w:r>
        <w:t xml:space="preserve"> and </w:t>
      </w:r>
      <w:r>
        <w:rPr>
          <w:i/>
          <w:iCs/>
        </w:rPr>
        <w:t xml:space="preserve">advisory </w:t>
      </w:r>
      <w:r>
        <w:t xml:space="preserve">1%-annual-chance (100-yr) flood level and 12 facilities in the moderate risk 0.2%-annual-chance (500-yr) flood level.  No essential facilities exist in the Regulatory Floodway.  </w:t>
      </w:r>
    </w:p>
    <w:p w14:paraId="793B4819" w14:textId="1C6271CB" w:rsidR="00776FF9" w:rsidRDefault="00776FF9" w:rsidP="00776FF9">
      <w:bookmarkStart w:id="24" w:name="_Toc114650841"/>
      <w:r w:rsidRPr="00E9667C">
        <w:rPr>
          <w:rStyle w:val="Heading3Char"/>
        </w:rPr>
        <w:t>Essential Facilities by Type</w:t>
      </w:r>
      <w:bookmarkEnd w:id="24"/>
      <w:r w:rsidRPr="00776FF9">
        <w:t>:</w:t>
      </w:r>
      <w:r>
        <w:rPr>
          <w:b/>
          <w:bCs/>
        </w:rPr>
        <w:t xml:space="preserve"> </w:t>
      </w:r>
      <w:r>
        <w:t xml:space="preserve"> Fifty-eight percent or 15 of the 26 flood-prone communities in </w:t>
      </w:r>
      <w:r w:rsidRPr="000F360D">
        <w:rPr>
          <w:b/>
          <w:bCs/>
          <w:color w:val="002060"/>
        </w:rPr>
        <w:t xml:space="preserve">Region 4 </w:t>
      </w:r>
      <w:r>
        <w:t>have essential facilities vulnerable to flooding.  The county with the most essential facilities</w:t>
      </w:r>
      <w:r w:rsidR="00AF285D">
        <w:t xml:space="preserve"> (n=16)</w:t>
      </w:r>
      <w:r>
        <w:t xml:space="preserve"> is </w:t>
      </w:r>
      <w:r w:rsidRPr="000F360D">
        <w:rPr>
          <w:b/>
          <w:bCs/>
          <w:color w:val="002060"/>
        </w:rPr>
        <w:t>Fayette County</w:t>
      </w:r>
      <w:r>
        <w:rPr>
          <w:b/>
          <w:bCs/>
          <w:color w:val="1F4E79" w:themeColor="accent1" w:themeShade="80"/>
        </w:rPr>
        <w:t xml:space="preserve"> </w:t>
      </w:r>
      <w:r>
        <w:rPr>
          <w:bCs/>
        </w:rPr>
        <w:t>(ranked 8</w:t>
      </w:r>
      <w:r>
        <w:rPr>
          <w:bCs/>
          <w:vertAlign w:val="superscript"/>
        </w:rPr>
        <w:t>th</w:t>
      </w:r>
      <w:r>
        <w:rPr>
          <w:bCs/>
        </w:rPr>
        <w:t xml:space="preserve"> for all counties)</w:t>
      </w:r>
      <w:r>
        <w:t>, while the incorporated town</w:t>
      </w:r>
      <w:r w:rsidR="00AF285D">
        <w:t>s</w:t>
      </w:r>
      <w:r>
        <w:t xml:space="preserve"> with the highest number of facilities</w:t>
      </w:r>
      <w:r w:rsidR="00AF285D">
        <w:t xml:space="preserve"> (n=5) are</w:t>
      </w:r>
      <w:r>
        <w:t xml:space="preserve"> </w:t>
      </w:r>
      <w:r w:rsidRPr="000F360D">
        <w:rPr>
          <w:b/>
          <w:bCs/>
          <w:color w:val="002060"/>
        </w:rPr>
        <w:t>Marlinton</w:t>
      </w:r>
      <w:r w:rsidR="008310D6" w:rsidRPr="000F360D">
        <w:rPr>
          <w:color w:val="002060"/>
        </w:rPr>
        <w:t xml:space="preserve"> </w:t>
      </w:r>
      <w:r w:rsidR="008310D6" w:rsidRPr="008310D6">
        <w:t>(Pocahontas County)</w:t>
      </w:r>
      <w:r w:rsidR="00AF285D" w:rsidRPr="00AF285D">
        <w:rPr>
          <w:color w:val="1F4E79" w:themeColor="accent1" w:themeShade="80"/>
        </w:rPr>
        <w:t xml:space="preserve"> </w:t>
      </w:r>
      <w:r w:rsidR="00AF285D" w:rsidRPr="008310D6">
        <w:t xml:space="preserve">and </w:t>
      </w:r>
      <w:r w:rsidR="00AF285D" w:rsidRPr="000F360D">
        <w:rPr>
          <w:b/>
          <w:bCs/>
          <w:color w:val="002060"/>
        </w:rPr>
        <w:t>Smithers</w:t>
      </w:r>
      <w:r w:rsidR="008310D6" w:rsidRPr="005B1090">
        <w:rPr>
          <w:b/>
          <w:bCs/>
          <w:color w:val="1F4E79" w:themeColor="accent1" w:themeShade="80"/>
        </w:rPr>
        <w:t xml:space="preserve"> </w:t>
      </w:r>
      <w:r w:rsidR="008310D6" w:rsidRPr="008310D6">
        <w:t xml:space="preserve">(Fayette County) which </w:t>
      </w:r>
      <w:r w:rsidR="008310D6">
        <w:t>have a tied ranking of 7</w:t>
      </w:r>
      <w:r w:rsidR="008310D6" w:rsidRPr="008310D6">
        <w:rPr>
          <w:vertAlign w:val="superscript"/>
        </w:rPr>
        <w:t>th</w:t>
      </w:r>
      <w:r w:rsidR="008310D6">
        <w:t xml:space="preserve"> </w:t>
      </w:r>
      <w:r>
        <w:t>for all municipalities in State</w:t>
      </w:r>
      <w:r w:rsidR="008310D6">
        <w:t xml:space="preserve">.  </w:t>
      </w:r>
      <w:r>
        <w:t xml:space="preserve">The highest number of essential facilities are fire stations (n=13), followed by police stations (n=10) and K-12 schools (n=10).  </w:t>
      </w:r>
      <w:r w:rsidRPr="00AF285D">
        <w:rPr>
          <w:i/>
          <w:iCs/>
        </w:rPr>
        <w:t xml:space="preserve">Hospitals and nursing homes with immobile patients or residents are particularly vulnerable to a flood disaster.  Small towns situated mostly in the floodplain are more challenged than unincorporated areas or larger cities to identify suitable sites that provide a high level of protection from flooding.  If a </w:t>
      </w:r>
      <w:hyperlink r:id="rId23" w:history="1">
        <w:r w:rsidRPr="00AF285D">
          <w:rPr>
            <w:rStyle w:val="Hyperlink"/>
            <w:i/>
            <w:iCs/>
          </w:rPr>
          <w:t>critical facility</w:t>
        </w:r>
      </w:hyperlink>
      <w:r w:rsidRPr="00AF285D">
        <w:rPr>
          <w:i/>
          <w:iCs/>
        </w:rPr>
        <w:t xml:space="preserve"> must be in a </w:t>
      </w:r>
      <w:r w:rsidR="00AF285D" w:rsidRPr="00AF285D">
        <w:rPr>
          <w:i/>
          <w:iCs/>
        </w:rPr>
        <w:t>floodplain,</w:t>
      </w:r>
      <w:r w:rsidRPr="00AF285D">
        <w:rPr>
          <w:i/>
          <w:iCs/>
        </w:rPr>
        <w:t xml:space="preserve"> then it should be provided a higher level of protection so that it can continue to function and provide services after the flood.  Communities should develop emergency plans to continue to provide these services during the flood.</w:t>
      </w:r>
      <w:r w:rsidRPr="00AF285D">
        <w:t xml:space="preserve"> </w:t>
      </w:r>
      <w:r>
        <w:t xml:space="preserve"> </w:t>
      </w:r>
    </w:p>
    <w:p w14:paraId="09FA8DE5" w14:textId="581CCCB5" w:rsidR="007E5137" w:rsidRDefault="008310D6">
      <w:pPr>
        <w:rPr>
          <w:rStyle w:val="Heading2Char"/>
        </w:rPr>
      </w:pPr>
      <w:bookmarkStart w:id="25" w:name="_Toc114650842"/>
      <w:r w:rsidRPr="00E9667C">
        <w:rPr>
          <w:rStyle w:val="Heading3Char"/>
        </w:rPr>
        <w:t>Essential Facilities by Flood Depth</w:t>
      </w:r>
      <w:bookmarkEnd w:id="25"/>
      <w:r w:rsidRPr="008310D6">
        <w:t>:</w:t>
      </w:r>
      <w:r>
        <w:t xml:space="preserve">  </w:t>
      </w:r>
      <w:r w:rsidR="00535A91">
        <w:t>The t</w:t>
      </w:r>
      <w:r>
        <w:t xml:space="preserve">op five essential facilities with </w:t>
      </w:r>
      <w:r w:rsidR="00535A91">
        <w:t xml:space="preserve">the </w:t>
      </w:r>
      <w:r>
        <w:t xml:space="preserve">highest mapped base flood depths:  </w:t>
      </w:r>
      <w:r w:rsidRPr="003F2C07">
        <w:rPr>
          <w:b/>
          <w:bCs/>
          <w:color w:val="002060"/>
        </w:rPr>
        <w:t>Alderson Elementary School</w:t>
      </w:r>
      <w:r>
        <w:t xml:space="preserve"> </w:t>
      </w:r>
      <w:r w:rsidR="00535A91">
        <w:t>(</w:t>
      </w:r>
      <w:r>
        <w:t>3.5 f</w:t>
      </w:r>
      <w:r w:rsidR="00535A91">
        <w:t>t.)</w:t>
      </w:r>
      <w:r>
        <w:t>,</w:t>
      </w:r>
      <w:r w:rsidRPr="003F2C07">
        <w:rPr>
          <w:b/>
          <w:bCs/>
          <w:color w:val="002060"/>
        </w:rPr>
        <w:t xml:space="preserve"> Marlinton Police Station</w:t>
      </w:r>
      <w:r w:rsidR="003F2C07">
        <w:t xml:space="preserve"> (2.2 ft.), </w:t>
      </w:r>
      <w:r w:rsidR="003F2C07" w:rsidRPr="003F2C07">
        <w:rPr>
          <w:b/>
          <w:bCs/>
          <w:color w:val="002060"/>
        </w:rPr>
        <w:t xml:space="preserve">Marlinton </w:t>
      </w:r>
      <w:r w:rsidRPr="003F2C07">
        <w:rPr>
          <w:b/>
          <w:bCs/>
          <w:color w:val="002060"/>
        </w:rPr>
        <w:t xml:space="preserve">Volunteer Fire Department </w:t>
      </w:r>
      <w:r w:rsidR="00535A91">
        <w:t>(</w:t>
      </w:r>
      <w:r>
        <w:t>2.2 f</w:t>
      </w:r>
      <w:r w:rsidR="00535A91">
        <w:t>t.)</w:t>
      </w:r>
      <w:r>
        <w:t xml:space="preserve">, Fayette County’s </w:t>
      </w:r>
      <w:r w:rsidRPr="003F2C07">
        <w:rPr>
          <w:b/>
          <w:bCs/>
          <w:color w:val="002060"/>
        </w:rPr>
        <w:t>Loup Creek Volunteer Fire Department</w:t>
      </w:r>
      <w:r>
        <w:t xml:space="preserve"> </w:t>
      </w:r>
      <w:r w:rsidR="00535A91">
        <w:t>(</w:t>
      </w:r>
      <w:r>
        <w:t>1.5</w:t>
      </w:r>
      <w:r w:rsidR="00535A91">
        <w:t xml:space="preserve"> ft.), and Webster County’s </w:t>
      </w:r>
      <w:r w:rsidR="00535A91" w:rsidRPr="003F2C07">
        <w:rPr>
          <w:b/>
          <w:bCs/>
          <w:color w:val="002060"/>
        </w:rPr>
        <w:t>Erbacon Volunteer Fire Department</w:t>
      </w:r>
      <w:r w:rsidR="00535A91">
        <w:t xml:space="preserve"> (1.0 ft</w:t>
      </w:r>
      <w:r>
        <w:t>.</w:t>
      </w:r>
      <w:r w:rsidR="00535A91">
        <w:t xml:space="preserve">).  </w:t>
      </w:r>
      <w:r w:rsidR="00535A91" w:rsidRPr="00535A91">
        <w:rPr>
          <w:i/>
          <w:iCs/>
        </w:rPr>
        <w:t xml:space="preserve">Essential facilities mapped to higher flood depths will most likely be subject to greater flood damage.  </w:t>
      </w:r>
      <w:r w:rsidR="00535A91">
        <w:rPr>
          <w:i/>
          <w:iCs/>
        </w:rPr>
        <w:t>Communities should i</w:t>
      </w:r>
      <w:r w:rsidR="00535A91" w:rsidRPr="00535A91">
        <w:rPr>
          <w:i/>
          <w:iCs/>
        </w:rPr>
        <w:t xml:space="preserve">dentify socio-economic effects if </w:t>
      </w:r>
      <w:r w:rsidR="00535A91">
        <w:rPr>
          <w:i/>
          <w:iCs/>
        </w:rPr>
        <w:t>these</w:t>
      </w:r>
      <w:r w:rsidR="00535A91" w:rsidRPr="00535A91">
        <w:rPr>
          <w:i/>
          <w:iCs/>
        </w:rPr>
        <w:t xml:space="preserve"> facilities are not restored to original function within days after flood event.</w:t>
      </w:r>
    </w:p>
    <w:p w14:paraId="58B5B2E1" w14:textId="3951962A" w:rsidR="008935E2" w:rsidRDefault="008935E2" w:rsidP="00BC2228">
      <w:pPr>
        <w:rPr>
          <w:rStyle w:val="Heading2Char"/>
        </w:rPr>
      </w:pPr>
      <w:bookmarkStart w:id="26" w:name="_Toc114650843"/>
      <w:r w:rsidRPr="00E9667C">
        <w:rPr>
          <w:rStyle w:val="Heading2Char"/>
        </w:rPr>
        <w:t>Community Assets</w:t>
      </w:r>
      <w:bookmarkEnd w:id="26"/>
      <w:r w:rsidR="000203A5">
        <w:rPr>
          <w:rStyle w:val="Heading2Char"/>
        </w:rPr>
        <w:br/>
      </w:r>
      <w:r w:rsidR="000203A5" w:rsidRPr="000203A5">
        <w:t>Community assets are</w:t>
      </w:r>
      <w:r w:rsidR="000203A5" w:rsidRPr="00F5609F">
        <w:rPr>
          <w:bCs/>
          <w:color w:val="000000" w:themeColor="text1"/>
        </w:rPr>
        <w:t xml:space="preserve"> historical structures</w:t>
      </w:r>
      <w:r w:rsidR="000203A5">
        <w:rPr>
          <w:bCs/>
          <w:color w:val="000000" w:themeColor="text1"/>
        </w:rPr>
        <w:t xml:space="preserve"> listed on the National Register of Historic Places</w:t>
      </w:r>
      <w:r w:rsidR="000203A5" w:rsidRPr="00F5609F">
        <w:rPr>
          <w:bCs/>
          <w:color w:val="000000" w:themeColor="text1"/>
        </w:rPr>
        <w:t xml:space="preserve">, government facilities (federal, state, local), emergency medical services (EMS), religious organizations, utilities, </w:t>
      </w:r>
      <w:r w:rsidR="000203A5">
        <w:rPr>
          <w:bCs/>
          <w:color w:val="000000" w:themeColor="text1"/>
        </w:rPr>
        <w:t xml:space="preserve">postsecondary </w:t>
      </w:r>
      <w:r w:rsidR="000203A5" w:rsidRPr="00F5609F">
        <w:rPr>
          <w:bCs/>
          <w:color w:val="000000" w:themeColor="text1"/>
        </w:rPr>
        <w:t>educational facilities, or other buildings</w:t>
      </w:r>
      <w:r w:rsidR="000203A5">
        <w:rPr>
          <w:bCs/>
          <w:color w:val="000000" w:themeColor="text1"/>
        </w:rPr>
        <w:t xml:space="preserve"> of significance that contribute to the </w:t>
      </w:r>
      <w:r w:rsidR="000203A5" w:rsidRPr="005C58EA">
        <w:rPr>
          <w:bCs/>
          <w:i/>
          <w:color w:val="000000" w:themeColor="text1"/>
        </w:rPr>
        <w:t>built environment</w:t>
      </w:r>
      <w:r w:rsidR="000203A5">
        <w:rPr>
          <w:bCs/>
          <w:color w:val="000000" w:themeColor="text1"/>
        </w:rPr>
        <w:t xml:space="preserve"> of </w:t>
      </w:r>
      <w:r w:rsidR="000203A5" w:rsidRPr="00F5609F">
        <w:rPr>
          <w:bCs/>
          <w:color w:val="000000" w:themeColor="text1"/>
        </w:rPr>
        <w:t>community.</w:t>
      </w:r>
    </w:p>
    <w:p w14:paraId="5E776E80" w14:textId="77777777" w:rsidR="0070536B" w:rsidRDefault="000203A5" w:rsidP="0070536B">
      <w:r>
        <w:rPr>
          <w:rStyle w:val="Heading3Char"/>
        </w:rPr>
        <w:br/>
      </w:r>
      <w:bookmarkStart w:id="27" w:name="_Toc114650844"/>
      <w:r w:rsidR="0070155B" w:rsidRPr="00E9667C">
        <w:rPr>
          <w:rStyle w:val="Heading3Char"/>
        </w:rPr>
        <w:t xml:space="preserve">Community Assets </w:t>
      </w:r>
      <w:r w:rsidR="00251C38" w:rsidRPr="00E9667C">
        <w:rPr>
          <w:rStyle w:val="Heading3Char"/>
        </w:rPr>
        <w:t>Vulnerable to Riverine Flooding</w:t>
      </w:r>
      <w:bookmarkEnd w:id="27"/>
      <w:r w:rsidR="0070155B" w:rsidRPr="00776FF9">
        <w:t>:</w:t>
      </w:r>
      <w:r w:rsidR="0070155B">
        <w:t xml:space="preserve">  </w:t>
      </w:r>
      <w:r w:rsidR="0070155B" w:rsidRPr="0070155B">
        <w:t xml:space="preserve">A total of 170 community assets (non-historical) and 102 historical buildings were inventoried in the 1%-annual-chance floodplain for the </w:t>
      </w:r>
      <w:r w:rsidR="0070155B" w:rsidRPr="000F360D">
        <w:rPr>
          <w:b/>
          <w:bCs/>
          <w:color w:val="002060"/>
        </w:rPr>
        <w:t>Region 4</w:t>
      </w:r>
      <w:r w:rsidR="0070155B" w:rsidRPr="000F360D">
        <w:rPr>
          <w:color w:val="002060"/>
        </w:rPr>
        <w:t xml:space="preserve"> </w:t>
      </w:r>
      <w:r w:rsidR="0070155B" w:rsidRPr="0070155B">
        <w:t xml:space="preserve">Planning and Development Council.  </w:t>
      </w:r>
      <w:r w:rsidR="0070155B" w:rsidRPr="000F360D">
        <w:rPr>
          <w:b/>
          <w:bCs/>
          <w:color w:val="002060"/>
        </w:rPr>
        <w:t>Fayette County</w:t>
      </w:r>
      <w:r w:rsidR="0070155B" w:rsidRPr="0070155B">
        <w:t xml:space="preserve"> has the largest number of inventoried community resources (n=53) of which the majority are </w:t>
      </w:r>
      <w:r w:rsidR="0070155B" w:rsidRPr="0070155B">
        <w:rPr>
          <w:i/>
          <w:iCs/>
        </w:rPr>
        <w:t xml:space="preserve">religious </w:t>
      </w:r>
      <w:r w:rsidR="0070155B" w:rsidRPr="0070155B">
        <w:t xml:space="preserve">buildings. The town of </w:t>
      </w:r>
      <w:r w:rsidR="0070155B" w:rsidRPr="000F360D">
        <w:rPr>
          <w:b/>
          <w:bCs/>
          <w:color w:val="002060"/>
        </w:rPr>
        <w:t>Marlinton</w:t>
      </w:r>
      <w:r w:rsidR="0070155B" w:rsidRPr="0070155B">
        <w:t xml:space="preserve"> (ranked 3</w:t>
      </w:r>
      <w:r w:rsidR="0070155B" w:rsidRPr="0070155B">
        <w:rPr>
          <w:vertAlign w:val="superscript"/>
        </w:rPr>
        <w:t>rd</w:t>
      </w:r>
      <w:r w:rsidR="0070155B" w:rsidRPr="0070155B">
        <w:t xml:space="preserve"> of all incorporated areas) has six </w:t>
      </w:r>
      <w:r w:rsidR="0070155B" w:rsidRPr="0070155B">
        <w:rPr>
          <w:i/>
          <w:iCs/>
        </w:rPr>
        <w:t>government</w:t>
      </w:r>
      <w:r w:rsidR="0070155B" w:rsidRPr="0070155B">
        <w:t xml:space="preserve"> and two </w:t>
      </w:r>
      <w:r w:rsidR="0070155B" w:rsidRPr="0070155B">
        <w:rPr>
          <w:i/>
          <w:iCs/>
        </w:rPr>
        <w:t>utility</w:t>
      </w:r>
      <w:r w:rsidR="0070155B" w:rsidRPr="0070155B">
        <w:t xml:space="preserve"> buildings (ranked 5</w:t>
      </w:r>
      <w:r w:rsidR="0070155B" w:rsidRPr="0070155B">
        <w:rPr>
          <w:vertAlign w:val="superscript"/>
        </w:rPr>
        <w:t>th</w:t>
      </w:r>
      <w:r w:rsidR="0070155B" w:rsidRPr="0070155B">
        <w:t>) located in the floodplain.</w:t>
      </w:r>
      <w:r>
        <w:t xml:space="preserve">  </w:t>
      </w:r>
      <w:r w:rsidRPr="000203A5">
        <w:rPr>
          <w:bCs/>
          <w:i/>
          <w:iCs/>
          <w:color w:val="000000" w:themeColor="text1"/>
        </w:rPr>
        <w:t xml:space="preserve">A </w:t>
      </w:r>
      <w:r w:rsidRPr="000203A5">
        <w:rPr>
          <w:bCs/>
          <w:i/>
          <w:iCs/>
          <w:color w:val="000000" w:themeColor="text1"/>
        </w:rPr>
        <w:lastRenderedPageBreak/>
        <w:t xml:space="preserve">hazard vulnerability analysis of </w:t>
      </w:r>
      <w:r w:rsidRPr="000203A5">
        <w:rPr>
          <w:i/>
          <w:iCs/>
          <w:color w:val="000000" w:themeColor="text1"/>
        </w:rPr>
        <w:t>community historic/cultural should be conducted by floodplain managers and risk planners to develop mitigation strategies for these assets.</w:t>
      </w:r>
      <w:r w:rsidRPr="000203A5">
        <w:rPr>
          <w:i/>
          <w:iCs/>
        </w:rPr>
        <w:t xml:space="preserve"> </w:t>
      </w:r>
      <w:r w:rsidRPr="000203A5">
        <w:br/>
      </w:r>
      <w:r w:rsidR="0070536B">
        <w:t xml:space="preserve"> </w:t>
      </w:r>
    </w:p>
    <w:p w14:paraId="3FCBB4D4" w14:textId="1B24665B" w:rsidR="0022677B" w:rsidRPr="0022677B" w:rsidRDefault="0022677B" w:rsidP="0070536B">
      <w:pPr>
        <w:rPr>
          <w:b/>
          <w:bCs/>
        </w:rPr>
      </w:pPr>
      <w:r>
        <w:t xml:space="preserve">Ronceverte’s Wastewater Treatment Plan:  </w:t>
      </w:r>
      <w:r w:rsidRPr="0022677B">
        <w:t xml:space="preserve">In 2018, the new </w:t>
      </w:r>
      <w:r w:rsidRPr="00656CBF">
        <w:rPr>
          <w:b/>
          <w:bCs/>
          <w:color w:val="002060"/>
        </w:rPr>
        <w:t xml:space="preserve">Ronceverte's </w:t>
      </w:r>
      <w:r w:rsidR="00656CBF">
        <w:rPr>
          <w:b/>
          <w:bCs/>
          <w:color w:val="002060"/>
        </w:rPr>
        <w:t>W</w:t>
      </w:r>
      <w:r w:rsidRPr="00656CBF">
        <w:rPr>
          <w:b/>
          <w:bCs/>
          <w:color w:val="002060"/>
        </w:rPr>
        <w:t xml:space="preserve">astewater </w:t>
      </w:r>
      <w:r w:rsidR="00656CBF">
        <w:rPr>
          <w:b/>
          <w:bCs/>
          <w:color w:val="002060"/>
        </w:rPr>
        <w:t>T</w:t>
      </w:r>
      <w:r w:rsidRPr="00656CBF">
        <w:rPr>
          <w:b/>
          <w:bCs/>
          <w:color w:val="002060"/>
        </w:rPr>
        <w:t xml:space="preserve">reatment </w:t>
      </w:r>
      <w:r w:rsidR="00656CBF">
        <w:rPr>
          <w:b/>
          <w:bCs/>
          <w:color w:val="002060"/>
        </w:rPr>
        <w:t>P</w:t>
      </w:r>
      <w:r w:rsidRPr="00656CBF">
        <w:rPr>
          <w:b/>
          <w:bCs/>
          <w:color w:val="002060"/>
        </w:rPr>
        <w:t xml:space="preserve">lant </w:t>
      </w:r>
      <w:r w:rsidRPr="0022677B">
        <w:t>was constructed</w:t>
      </w:r>
      <w:r w:rsidRPr="0022677B">
        <w:rPr>
          <w:b/>
          <w:bCs/>
        </w:rPr>
        <w:t xml:space="preserve"> </w:t>
      </w:r>
      <w:r w:rsidRPr="0022677B">
        <w:t>at a cost of $24 million.  All structures of the wastewater treatment plant are in the effective high-risk floodplain at a 1% (100-year) estimated flood inundation depth of 9.5 feet.  At the treatment plant location, the 0.2% (500-year) estimated flood inundation depth is about two feet higher than that of the 1% floodplain.  The USGS high water marks show the maximum inundation of 3.24 feet above the ground at the facility site for the 2016 flood event.</w:t>
      </w:r>
      <w:r w:rsidR="00C216AB">
        <w:t xml:space="preserve">  </w:t>
      </w:r>
      <w:r w:rsidRPr="0022677B">
        <w:t xml:space="preserve">The structures are also located in a preliminary floodplain at a 1% (100-year) estimated inundation depth of 6.5 feet.  The preliminary floodplain delineated based on the new flood study is under review to become effective. </w:t>
      </w:r>
      <w:r w:rsidRPr="0022677B">
        <w:rPr>
          <w:i/>
          <w:iCs/>
        </w:rPr>
        <w:t xml:space="preserve"> Examples of mitigation measures for utilities are emergency response plans, barriers around key assets, elevated electrical equipment, emergency generators, and bolted down chemical tanks.</w:t>
      </w:r>
    </w:p>
    <w:p w14:paraId="6B1AA5A4" w14:textId="45DF771D" w:rsidR="00636515" w:rsidRPr="00636515" w:rsidRDefault="000F738B" w:rsidP="00636515">
      <w:pPr>
        <w:spacing w:after="0" w:line="240" w:lineRule="auto"/>
        <w:rPr>
          <w:rFonts w:ascii="Calibri" w:eastAsia="Times New Roman" w:hAnsi="Calibri" w:cs="Calibri"/>
          <w:color w:val="000000"/>
        </w:rPr>
      </w:pPr>
      <w:r>
        <w:rPr>
          <w:b/>
          <w:bCs/>
        </w:rPr>
        <w:br/>
      </w:r>
      <w:r w:rsidR="00EC21BC" w:rsidRPr="00636515">
        <w:rPr>
          <w:b/>
          <w:bCs/>
        </w:rPr>
        <w:t xml:space="preserve">Community Assets by Flood Depth.  </w:t>
      </w:r>
      <w:r w:rsidR="00636515" w:rsidRPr="00636515">
        <w:t xml:space="preserve">The top three community assets with the greatest flood depth are the </w:t>
      </w:r>
      <w:r w:rsidR="00636515" w:rsidRPr="00656CBF">
        <w:rPr>
          <w:rFonts w:ascii="Calibri" w:eastAsia="Times New Roman" w:hAnsi="Calibri" w:cs="Calibri"/>
          <w:b/>
          <w:bCs/>
          <w:color w:val="002060"/>
        </w:rPr>
        <w:t xml:space="preserve">Ronceverte </w:t>
      </w:r>
      <w:r w:rsidR="00656CBF" w:rsidRPr="00656CBF">
        <w:rPr>
          <w:rFonts w:ascii="Calibri" w:eastAsia="Times New Roman" w:hAnsi="Calibri" w:cs="Calibri"/>
          <w:b/>
          <w:bCs/>
          <w:color w:val="002060"/>
        </w:rPr>
        <w:t>Wastewater</w:t>
      </w:r>
      <w:r w:rsidR="00636515" w:rsidRPr="00656CBF">
        <w:rPr>
          <w:rFonts w:ascii="Calibri" w:eastAsia="Times New Roman" w:hAnsi="Calibri" w:cs="Calibri"/>
          <w:b/>
          <w:bCs/>
          <w:color w:val="002060"/>
        </w:rPr>
        <w:t xml:space="preserve"> Treatment Plant</w:t>
      </w:r>
      <w:r w:rsidR="00636515" w:rsidRPr="00636515">
        <w:rPr>
          <w:rFonts w:ascii="Calibri" w:eastAsia="Times New Roman" w:hAnsi="Calibri" w:cs="Calibri"/>
          <w:color w:val="000000"/>
        </w:rPr>
        <w:t xml:space="preserve"> (9.6 ft.) in Greenbrier County, and the </w:t>
      </w:r>
      <w:r w:rsidR="00636515" w:rsidRPr="00656CBF">
        <w:rPr>
          <w:rFonts w:ascii="Calibri" w:eastAsia="Times New Roman" w:hAnsi="Calibri" w:cs="Calibri"/>
          <w:b/>
          <w:bCs/>
          <w:color w:val="002060"/>
        </w:rPr>
        <w:t>U</w:t>
      </w:r>
      <w:r w:rsidR="00656CBF">
        <w:rPr>
          <w:rFonts w:ascii="Calibri" w:eastAsia="Times New Roman" w:hAnsi="Calibri" w:cs="Calibri"/>
          <w:b/>
          <w:bCs/>
          <w:color w:val="002060"/>
        </w:rPr>
        <w:t>.S.</w:t>
      </w:r>
      <w:r w:rsidR="00636515" w:rsidRPr="00656CBF">
        <w:rPr>
          <w:rFonts w:ascii="Calibri" w:eastAsia="Times New Roman" w:hAnsi="Calibri" w:cs="Calibri"/>
          <w:b/>
          <w:bCs/>
          <w:color w:val="002060"/>
        </w:rPr>
        <w:t xml:space="preserve"> Postal Service Offices</w:t>
      </w:r>
      <w:r w:rsidR="00636515" w:rsidRPr="00636515">
        <w:rPr>
          <w:rFonts w:ascii="Calibri" w:eastAsia="Times New Roman" w:hAnsi="Calibri" w:cs="Calibri"/>
          <w:color w:val="000000"/>
        </w:rPr>
        <w:t xml:space="preserve"> in Fayette County (7.0 ft.) and Webster County (5.5 ft.).</w:t>
      </w:r>
    </w:p>
    <w:p w14:paraId="61A3A55B" w14:textId="48737F29" w:rsidR="00636515" w:rsidRPr="00FD321E" w:rsidRDefault="00636515" w:rsidP="00636515">
      <w:pPr>
        <w:spacing w:after="0" w:line="240" w:lineRule="auto"/>
        <w:rPr>
          <w:rFonts w:ascii="Calibri" w:eastAsia="Times New Roman" w:hAnsi="Calibri" w:cs="Calibri"/>
          <w:color w:val="000000"/>
          <w:sz w:val="18"/>
          <w:szCs w:val="18"/>
        </w:rPr>
      </w:pPr>
    </w:p>
    <w:p w14:paraId="641F8F91" w14:textId="79165A88" w:rsidR="00636515" w:rsidRPr="00FD321E" w:rsidRDefault="00636515" w:rsidP="00636515">
      <w:pPr>
        <w:spacing w:after="0" w:line="240" w:lineRule="auto"/>
        <w:rPr>
          <w:rFonts w:ascii="Calibri" w:eastAsia="Times New Roman" w:hAnsi="Calibri" w:cs="Calibri"/>
          <w:color w:val="000000"/>
          <w:sz w:val="18"/>
          <w:szCs w:val="18"/>
        </w:rPr>
      </w:pPr>
    </w:p>
    <w:p w14:paraId="4E32B5B5" w14:textId="655516ED" w:rsidR="00636515" w:rsidRPr="001359D8" w:rsidRDefault="00636515" w:rsidP="00636515">
      <w:pPr>
        <w:rPr>
          <w:i/>
          <w:iCs/>
        </w:rPr>
      </w:pPr>
      <w:r>
        <w:rPr>
          <w:b/>
          <w:bCs/>
        </w:rPr>
        <w:t>Religious Community Assets by Flood Depth</w:t>
      </w:r>
      <w:r w:rsidRPr="00BE6598">
        <w:rPr>
          <w:b/>
          <w:bCs/>
        </w:rPr>
        <w:t xml:space="preserve">: </w:t>
      </w:r>
      <w:r>
        <w:t xml:space="preserve"> The top three churches with the greatest flood depth are the </w:t>
      </w:r>
      <w:r w:rsidRPr="006A66B2">
        <w:rPr>
          <w:b/>
          <w:bCs/>
          <w:color w:val="002060"/>
        </w:rPr>
        <w:t>Pocahontas Cooperative Parish</w:t>
      </w:r>
      <w:r>
        <w:t xml:space="preserve"> in Marlinton (17.4 ft.), Webster County’s </w:t>
      </w:r>
      <w:r w:rsidRPr="006A66B2">
        <w:rPr>
          <w:b/>
          <w:bCs/>
          <w:color w:val="002060"/>
        </w:rPr>
        <w:t xml:space="preserve">Bergoo Baptist Church </w:t>
      </w:r>
      <w:r>
        <w:t xml:space="preserve">(12.6 ft.), and Fayette County’s </w:t>
      </w:r>
      <w:r w:rsidRPr="006A66B2">
        <w:rPr>
          <w:b/>
          <w:bCs/>
          <w:color w:val="002060"/>
        </w:rPr>
        <w:t>First Church of God Alta</w:t>
      </w:r>
      <w:r>
        <w:t xml:space="preserve"> (9.4 ft.).</w:t>
      </w:r>
      <w:r w:rsidR="001359D8">
        <w:t xml:space="preserve">  </w:t>
      </w:r>
      <w:r w:rsidR="001359D8" w:rsidRPr="001359D8">
        <w:rPr>
          <w:i/>
          <w:iCs/>
        </w:rPr>
        <w:t>First floors are completely inundated at nine feet.</w:t>
      </w:r>
    </w:p>
    <w:p w14:paraId="588E209B" w14:textId="7971261F" w:rsidR="00636515" w:rsidRDefault="0022677B" w:rsidP="00636515">
      <w:r>
        <w:rPr>
          <w:rStyle w:val="Heading3Char"/>
        </w:rPr>
        <w:br/>
      </w:r>
      <w:bookmarkStart w:id="28" w:name="_Toc114650845"/>
      <w:r w:rsidR="00BF77FC">
        <w:rPr>
          <w:rStyle w:val="Heading3Char"/>
        </w:rPr>
        <w:t>Historical Community Assets</w:t>
      </w:r>
      <w:bookmarkEnd w:id="28"/>
      <w:r w:rsidR="0070155B">
        <w:t>:</w:t>
      </w:r>
      <w:r w:rsidR="00EA170C">
        <w:t xml:space="preserve">  A total of 102 </w:t>
      </w:r>
      <w:r w:rsidR="00EA170C" w:rsidRPr="00C76919">
        <w:rPr>
          <w:i/>
        </w:rPr>
        <w:t>historical buildings</w:t>
      </w:r>
      <w:r w:rsidR="00EA170C">
        <w:t xml:space="preserve"> were inventoried in the 1%-annual-chance floodplain for </w:t>
      </w:r>
      <w:r w:rsidR="00EA170C" w:rsidRPr="000F360D">
        <w:rPr>
          <w:b/>
          <w:color w:val="002060"/>
        </w:rPr>
        <w:t>Region 4</w:t>
      </w:r>
      <w:r w:rsidR="00EA170C">
        <w:t xml:space="preserve">.  The data sources for the historical buildings are from the National Register </w:t>
      </w:r>
      <w:r w:rsidR="00EA170C" w:rsidRPr="00C76211">
        <w:rPr>
          <w:i/>
        </w:rPr>
        <w:t xml:space="preserve">site </w:t>
      </w:r>
      <w:r w:rsidR="00EA170C">
        <w:t xml:space="preserve">and </w:t>
      </w:r>
      <w:r w:rsidR="00EA170C" w:rsidRPr="00C76211">
        <w:rPr>
          <w:i/>
        </w:rPr>
        <w:t>area</w:t>
      </w:r>
      <w:r w:rsidR="00EA170C">
        <w:t xml:space="preserve"> designations.  Buildings identified within National Register Areas or registered historic districts are older than 1930.</w:t>
      </w:r>
      <w:r w:rsidR="00636515">
        <w:t xml:space="preserve">  </w:t>
      </w:r>
      <w:r w:rsidR="00636515" w:rsidRPr="00636515">
        <w:rPr>
          <w:i/>
          <w:iCs/>
        </w:rPr>
        <w:t>Although the NFIP provides relief to historic structures from having to comply with NFIP floodplain management requirements for new construction, communities and owners of historic structures should consider mitigation measures that can reduce the impacts of flooding on historic structures located in Special Flood Hazard Areas (44 CFR §60.3).</w:t>
      </w:r>
    </w:p>
    <w:p w14:paraId="27579F68" w14:textId="77777777" w:rsidR="00EC21BC" w:rsidRDefault="00EC21BC" w:rsidP="00EA170C">
      <w:pPr>
        <w:rPr>
          <w:rStyle w:val="Hyperlink"/>
          <w:bCs/>
        </w:rPr>
      </w:pPr>
      <w:r>
        <w:t xml:space="preserve">Community Ranking: </w:t>
      </w:r>
      <w:r w:rsidR="00EA170C">
        <w:t xml:space="preserve"> </w:t>
      </w:r>
      <w:r w:rsidR="00EA170C" w:rsidRPr="000F360D">
        <w:rPr>
          <w:b/>
          <w:color w:val="002060"/>
        </w:rPr>
        <w:t>Greenbrier County</w:t>
      </w:r>
      <w:r w:rsidR="00EA170C">
        <w:t xml:space="preserve"> </w:t>
      </w:r>
      <w:r w:rsidR="00EA170C" w:rsidRPr="0087375C">
        <w:t xml:space="preserve">is ranked </w:t>
      </w:r>
      <w:r w:rsidR="00EA170C">
        <w:t>7</w:t>
      </w:r>
      <w:r w:rsidR="00EA170C" w:rsidRPr="0087375C">
        <w:rPr>
          <w:vertAlign w:val="superscript"/>
        </w:rPr>
        <w:t>th</w:t>
      </w:r>
      <w:r w:rsidR="00EA170C">
        <w:t xml:space="preserve"> in the State as having the most </w:t>
      </w:r>
      <w:r w:rsidR="00EA170C" w:rsidRPr="00322C41">
        <w:t xml:space="preserve">historical </w:t>
      </w:r>
      <w:r w:rsidR="00EA170C">
        <w:t xml:space="preserve">buildings (n=56) in the high-risk floodplain of which the majority are in the city of </w:t>
      </w:r>
      <w:r w:rsidR="00EA170C" w:rsidRPr="000F360D">
        <w:rPr>
          <w:b/>
          <w:color w:val="002060"/>
        </w:rPr>
        <w:t>Ronceverte</w:t>
      </w:r>
      <w:r w:rsidR="00EA170C">
        <w:t xml:space="preserve"> (ranked 14</w:t>
      </w:r>
      <w:r w:rsidR="00EA170C" w:rsidRPr="001B4B24">
        <w:rPr>
          <w:vertAlign w:val="superscript"/>
        </w:rPr>
        <w:t>th</w:t>
      </w:r>
      <w:r w:rsidR="00EA170C">
        <w:t xml:space="preserve"> of all incorporated areas).  The split community of </w:t>
      </w:r>
      <w:r w:rsidR="00EA170C" w:rsidRPr="000F360D">
        <w:rPr>
          <w:b/>
          <w:color w:val="002060"/>
        </w:rPr>
        <w:t xml:space="preserve">Alderson </w:t>
      </w:r>
      <w:r w:rsidR="00EA170C" w:rsidRPr="00804E10">
        <w:t>and the city of</w:t>
      </w:r>
      <w:r w:rsidR="00EA170C">
        <w:rPr>
          <w:b/>
          <w:color w:val="1F4E79" w:themeColor="accent1" w:themeShade="80"/>
        </w:rPr>
        <w:t xml:space="preserve"> </w:t>
      </w:r>
      <w:r w:rsidR="00EA170C" w:rsidRPr="000F360D">
        <w:rPr>
          <w:b/>
          <w:color w:val="002060"/>
        </w:rPr>
        <w:t xml:space="preserve">Mount Hope </w:t>
      </w:r>
      <w:r w:rsidR="00EA170C" w:rsidRPr="003F47D4">
        <w:t xml:space="preserve">also have significant numbers of </w:t>
      </w:r>
      <w:r w:rsidR="00EA170C">
        <w:t xml:space="preserve">historical buildings in the high-risk floodplain (18 and 16 rank respectively).  </w:t>
      </w:r>
      <w:r w:rsidR="00EA170C">
        <w:rPr>
          <w:bCs/>
        </w:rPr>
        <w:t xml:space="preserve">For communities with the most National Register Areas in the State that intersect the 1% floodplain, </w:t>
      </w:r>
      <w:r w:rsidR="00EA170C" w:rsidRPr="000F360D">
        <w:rPr>
          <w:b/>
          <w:color w:val="002060"/>
        </w:rPr>
        <w:t>Greenbrier County</w:t>
      </w:r>
      <w:r w:rsidR="00EA170C" w:rsidRPr="000F360D">
        <w:rPr>
          <w:bCs/>
          <w:color w:val="002060"/>
        </w:rPr>
        <w:t xml:space="preserve"> </w:t>
      </w:r>
      <w:r w:rsidR="00EA170C">
        <w:rPr>
          <w:bCs/>
        </w:rPr>
        <w:t xml:space="preserve">(12 NR Areas) is ranked fourth and </w:t>
      </w:r>
      <w:r w:rsidR="00EA170C" w:rsidRPr="000F360D">
        <w:rPr>
          <w:b/>
          <w:color w:val="002060"/>
        </w:rPr>
        <w:t>Fayette County</w:t>
      </w:r>
      <w:r w:rsidR="00EA170C">
        <w:rPr>
          <w:bCs/>
        </w:rPr>
        <w:t xml:space="preserve"> (7 NR Areas) seventh.  </w:t>
      </w:r>
      <w:r w:rsidR="00EA170C">
        <w:t xml:space="preserve">For more complete information about the historical designations, </w:t>
      </w:r>
      <w:r w:rsidR="00EA170C">
        <w:rPr>
          <w:bCs/>
        </w:rPr>
        <w:t xml:space="preserve">refer to the </w:t>
      </w:r>
      <w:hyperlink r:id="rId24" w:history="1">
        <w:r w:rsidR="00EA170C" w:rsidRPr="006248FE">
          <w:rPr>
            <w:rStyle w:val="Hyperlink"/>
            <w:bCs/>
          </w:rPr>
          <w:t>National Register WV Listings.</w:t>
        </w:r>
      </w:hyperlink>
      <w:r>
        <w:rPr>
          <w:rStyle w:val="Hyperlink"/>
          <w:bCs/>
        </w:rPr>
        <w:t xml:space="preserve">  </w:t>
      </w:r>
    </w:p>
    <w:p w14:paraId="601038FA" w14:textId="6CE7B271" w:rsidR="00EA170C" w:rsidRPr="00631177" w:rsidRDefault="00EC21BC" w:rsidP="00EA170C">
      <w:pPr>
        <w:rPr>
          <w:rStyle w:val="Hyperlink"/>
          <w:color w:val="auto"/>
          <w:u w:val="none"/>
        </w:rPr>
      </w:pPr>
      <w:r>
        <w:t xml:space="preserve">Historic District Ranking:  The National Register Areas with the estimated highest number of historic buildings are the </w:t>
      </w:r>
      <w:r w:rsidRPr="000F360D">
        <w:rPr>
          <w:b/>
          <w:bCs/>
          <w:color w:val="002060"/>
        </w:rPr>
        <w:t>Alderson Historic District</w:t>
      </w:r>
      <w:r>
        <w:t xml:space="preserve"> and </w:t>
      </w:r>
      <w:r w:rsidRPr="000F360D">
        <w:rPr>
          <w:b/>
          <w:bCs/>
          <w:color w:val="002060"/>
        </w:rPr>
        <w:t>Ronceverte Historic District</w:t>
      </w:r>
      <w:r>
        <w:t>.</w:t>
      </w:r>
    </w:p>
    <w:p w14:paraId="12A0C2C9" w14:textId="43354202" w:rsidR="00C45BEB" w:rsidRDefault="00EA170C" w:rsidP="00C45BEB">
      <w:r w:rsidRPr="00EC371B">
        <w:rPr>
          <w:b/>
          <w:bCs/>
        </w:rPr>
        <w:lastRenderedPageBreak/>
        <w:t xml:space="preserve">Historical Community Assets by Flood Depth: </w:t>
      </w:r>
      <w:r w:rsidRPr="00EC371B">
        <w:t xml:space="preserve"> </w:t>
      </w:r>
      <w:r w:rsidR="00C45BEB">
        <w:t>The top three historical buildings with the greatest flood depth are in the</w:t>
      </w:r>
      <w:r w:rsidR="00C45BEB" w:rsidRPr="006A66B2">
        <w:rPr>
          <w:b/>
          <w:bCs/>
          <w:color w:val="002060"/>
        </w:rPr>
        <w:t xml:space="preserve"> Mount Hope Historic District </w:t>
      </w:r>
      <w:r w:rsidR="00C45BEB">
        <w:t xml:space="preserve">(6.8 ft.) of Fayette County, </w:t>
      </w:r>
      <w:r w:rsidR="00C45BEB" w:rsidRPr="006A66B2">
        <w:rPr>
          <w:b/>
          <w:bCs/>
          <w:color w:val="002060"/>
        </w:rPr>
        <w:t xml:space="preserve">Bank of Glen Jean </w:t>
      </w:r>
      <w:r w:rsidR="00C45BEB">
        <w:t>(4.8 ft.) of Fayette County, and</w:t>
      </w:r>
      <w:r w:rsidR="00EC21BC">
        <w:t xml:space="preserve"> </w:t>
      </w:r>
      <w:r w:rsidR="00EC21BC" w:rsidRPr="006A66B2">
        <w:rPr>
          <w:b/>
          <w:bCs/>
          <w:color w:val="002060"/>
        </w:rPr>
        <w:t>Alderson Historic District</w:t>
      </w:r>
      <w:r w:rsidR="00EC21BC">
        <w:t xml:space="preserve"> (4.8 ft.).</w:t>
      </w:r>
    </w:p>
    <w:p w14:paraId="60F081C5" w14:textId="79F6A8A1" w:rsidR="008935E2" w:rsidRDefault="0070155B" w:rsidP="00BC2228">
      <w:r>
        <w:t xml:space="preserve">  </w:t>
      </w:r>
    </w:p>
    <w:p w14:paraId="7DCBCCC1" w14:textId="0C53DBCE" w:rsidR="008935E2" w:rsidRDefault="00BF77FC" w:rsidP="00BF77FC">
      <w:pPr>
        <w:pStyle w:val="Heading1"/>
      </w:pPr>
      <w:bookmarkStart w:id="29" w:name="_Toc114650846"/>
      <w:r w:rsidRPr="00BF77FC">
        <w:t>FLOOD DAMAGE LOSS ESIMATES (1% FLOOD EVENT)</w:t>
      </w:r>
      <w:bookmarkEnd w:id="29"/>
    </w:p>
    <w:p w14:paraId="42B46115" w14:textId="53DD3DB3" w:rsidR="00BF77FC" w:rsidRPr="00BF77FC" w:rsidRDefault="00BF77FC" w:rsidP="00BC2228">
      <w:pPr>
        <w:rPr>
          <w:i/>
          <w:iCs/>
        </w:rPr>
      </w:pPr>
      <w:r>
        <w:br/>
      </w:r>
      <w:r w:rsidRPr="00BF77FC">
        <w:rPr>
          <w:i/>
          <w:iCs/>
        </w:rPr>
        <w:t xml:space="preserve">What is </w:t>
      </w:r>
      <w:r w:rsidR="00716087">
        <w:rPr>
          <w:i/>
          <w:iCs/>
        </w:rPr>
        <w:t xml:space="preserve">the </w:t>
      </w:r>
      <w:r w:rsidRPr="00BF77FC">
        <w:rPr>
          <w:i/>
          <w:iCs/>
        </w:rPr>
        <w:t>degree of flood risk?</w:t>
      </w:r>
    </w:p>
    <w:p w14:paraId="702408F1" w14:textId="532B557F" w:rsidR="00BF77FC" w:rsidRDefault="00716087" w:rsidP="00BC2228">
      <w:r>
        <w:t>Hazus flood loss models and the best-available depth grids quantify the degree of flood risk of each structure</w:t>
      </w:r>
      <w:r w:rsidR="006A66B2">
        <w:t xml:space="preserve"> or feature.</w:t>
      </w:r>
      <w:r w:rsidR="00421178">
        <w:t xml:space="preserve">  </w:t>
      </w:r>
      <w:r w:rsidR="00421178" w:rsidRPr="00421178">
        <w:t>FEMA’s open-source Hazus utility, Flood Assessment Structure Tool (FAST), provides a standardized methodology for estimating potential building losses for a 1%-annual-chance flood event.  Debris removal and maximum restoration times are also determined.</w:t>
      </w:r>
      <w:r w:rsidR="00421178">
        <w:t xml:space="preserve">  The FAST utility is supplemented with </w:t>
      </w:r>
      <w:r w:rsidR="00D72C70" w:rsidRPr="00D72C70">
        <w:t>population and short-term sheltering models according to Hazus methodology.</w:t>
      </w:r>
      <w:r w:rsidR="00D72C70">
        <w:t xml:space="preserve">  </w:t>
      </w:r>
      <w:r w:rsidR="00D72C70" w:rsidRPr="00D72C70">
        <w:rPr>
          <w:i/>
        </w:rPr>
        <w:t>Flood loss models quantify the degree of flood risk, including estimates of substantially damaged structures.  Quantifying the degree of flood risk is important for risk communications and flood reduction efforts.</w:t>
      </w:r>
    </w:p>
    <w:p w14:paraId="3A8CE524" w14:textId="77777777" w:rsidR="006A66B2" w:rsidRDefault="00716087" w:rsidP="006A66B2">
      <w:pPr>
        <w:pStyle w:val="Heading2"/>
      </w:pPr>
      <w:bookmarkStart w:id="30" w:name="_Toc114650847"/>
      <w:r>
        <w:t>Building Damage</w:t>
      </w:r>
      <w:r w:rsidR="00B46DE2">
        <w:t xml:space="preserve"> Dollar and Percent</w:t>
      </w:r>
      <w:r>
        <w:t xml:space="preserve"> Estimates</w:t>
      </w:r>
      <w:bookmarkEnd w:id="30"/>
    </w:p>
    <w:p w14:paraId="708AC4CE" w14:textId="28776C3C" w:rsidR="0026682C" w:rsidRDefault="00AF470F" w:rsidP="00AF470F">
      <w:r w:rsidRPr="00EC27CB">
        <w:rPr>
          <w:i/>
          <w:iCs/>
        </w:rPr>
        <w:t>Total Expos</w:t>
      </w:r>
      <w:r w:rsidR="0026682C" w:rsidRPr="00EC27CB">
        <w:rPr>
          <w:i/>
          <w:iCs/>
        </w:rPr>
        <w:t xml:space="preserve">ure in Floodplain (TEIF) </w:t>
      </w:r>
      <w:r w:rsidR="0026682C">
        <w:t>provides an approximate value of potential economic losses in the high-risk flood hazard areas and a relative comparison of potential flood loss.  FEMA’s Flood Assessment Structure Tool is used to assess potential flood risk.  FEMA uses TEIF to:</w:t>
      </w:r>
    </w:p>
    <w:p w14:paraId="0E03ADF3" w14:textId="014F7C91" w:rsidR="0026682C" w:rsidRDefault="0026682C" w:rsidP="0026682C">
      <w:pPr>
        <w:pStyle w:val="ListParagraph"/>
        <w:numPr>
          <w:ilvl w:val="0"/>
          <w:numId w:val="9"/>
        </w:numPr>
      </w:pPr>
      <w:r>
        <w:t>Inform community engagement priorities.  Prioritize hazard mitigation projects and inform resource allocation for pre-disaster planning.</w:t>
      </w:r>
    </w:p>
    <w:p w14:paraId="5F980FD5" w14:textId="6D9E0533" w:rsidR="0026682C" w:rsidRDefault="0026682C" w:rsidP="0026682C">
      <w:pPr>
        <w:pStyle w:val="ListParagraph"/>
        <w:numPr>
          <w:ilvl w:val="0"/>
          <w:numId w:val="9"/>
        </w:numPr>
      </w:pPr>
      <w:r>
        <w:t>Identify highest risk communities.  Identify areas and populations of highest risk.</w:t>
      </w:r>
    </w:p>
    <w:p w14:paraId="784757DB" w14:textId="77777777" w:rsidR="0026682C" w:rsidRDefault="0026682C" w:rsidP="0026682C">
      <w:pPr>
        <w:pStyle w:val="ListParagraph"/>
        <w:numPr>
          <w:ilvl w:val="0"/>
          <w:numId w:val="9"/>
        </w:numPr>
      </w:pPr>
      <w:r>
        <w:t>Illustrate the value of developing enhanced Hazus risk assessments through Risk MAP</w:t>
      </w:r>
    </w:p>
    <w:p w14:paraId="211ED13E" w14:textId="64026F88" w:rsidR="00AF470F" w:rsidRDefault="0026682C" w:rsidP="0026682C">
      <w:pPr>
        <w:pStyle w:val="ListParagraph"/>
        <w:numPr>
          <w:ilvl w:val="0"/>
          <w:numId w:val="9"/>
        </w:numPr>
      </w:pPr>
      <w:r>
        <w:t xml:space="preserve">Used to prioritize Community Assistance Visits meeting schedule. </w:t>
      </w:r>
    </w:p>
    <w:p w14:paraId="2FA60441" w14:textId="181BC3DE" w:rsidR="003C13E9" w:rsidRDefault="00AF470F" w:rsidP="00AF470F">
      <w:bookmarkStart w:id="31" w:name="_Toc114650848"/>
      <w:r w:rsidRPr="00EC27CB">
        <w:rPr>
          <w:rStyle w:val="Heading3Char"/>
        </w:rPr>
        <w:t xml:space="preserve">TEIF </w:t>
      </w:r>
      <w:r w:rsidR="00FE6FFC" w:rsidRPr="00EC27CB">
        <w:rPr>
          <w:rStyle w:val="Heading3Char"/>
        </w:rPr>
        <w:t>Building</w:t>
      </w:r>
      <w:r w:rsidRPr="00EC27CB">
        <w:rPr>
          <w:rStyle w:val="Heading3Char"/>
        </w:rPr>
        <w:t xml:space="preserve"> </w:t>
      </w:r>
      <w:r w:rsidR="00FE6FFC" w:rsidRPr="00EC27CB">
        <w:rPr>
          <w:rStyle w:val="Heading3Char"/>
        </w:rPr>
        <w:t xml:space="preserve">Dollar </w:t>
      </w:r>
      <w:r w:rsidRPr="00EC27CB">
        <w:rPr>
          <w:rStyle w:val="Heading3Char"/>
        </w:rPr>
        <w:t>Loss</w:t>
      </w:r>
      <w:r w:rsidR="00FE6FFC" w:rsidRPr="00EC27CB">
        <w:rPr>
          <w:rStyle w:val="Heading3Char"/>
        </w:rPr>
        <w:t xml:space="preserve"> </w:t>
      </w:r>
      <w:r w:rsidR="001A11B3" w:rsidRPr="00EC27CB">
        <w:rPr>
          <w:rStyle w:val="Heading3Char"/>
        </w:rPr>
        <w:t>Estimates</w:t>
      </w:r>
      <w:bookmarkEnd w:id="31"/>
      <w:r>
        <w:t xml:space="preserve">:  </w:t>
      </w:r>
      <w:r w:rsidR="003D5BFF">
        <w:t xml:space="preserve">The </w:t>
      </w:r>
      <w:r w:rsidR="001C1A03">
        <w:t xml:space="preserve">Hazus flood loss model for a 1%-annual-chance flood event </w:t>
      </w:r>
      <w:r w:rsidR="003D5BFF">
        <w:t xml:space="preserve">for Region 4 </w:t>
      </w:r>
      <w:r w:rsidR="001C1A03">
        <w:t>reveal</w:t>
      </w:r>
      <w:r w:rsidR="003D5BFF">
        <w:t>s the Total Exposure in Floodplain (TEIF) dollar loss</w:t>
      </w:r>
      <w:r w:rsidR="00FE6FFC">
        <w:t>es</w:t>
      </w:r>
      <w:r w:rsidR="003D5BFF">
        <w:t xml:space="preserve"> </w:t>
      </w:r>
      <w:r w:rsidR="003D5BFF" w:rsidRPr="005013FB">
        <w:rPr>
          <w:i/>
          <w:iCs/>
        </w:rPr>
        <w:t>exceed $3 million</w:t>
      </w:r>
      <w:r w:rsidR="003D5BFF">
        <w:t xml:space="preserve"> for the following communities:  </w:t>
      </w:r>
      <w:r w:rsidR="003D5BFF" w:rsidRPr="005013FB">
        <w:rPr>
          <w:b/>
          <w:bCs/>
          <w:color w:val="1F4E79" w:themeColor="accent1" w:themeShade="80"/>
        </w:rPr>
        <w:t xml:space="preserve">Greenbrier County </w:t>
      </w:r>
      <w:r w:rsidR="003D5BFF">
        <w:t>(</w:t>
      </w:r>
      <w:r w:rsidR="00800E26">
        <w:t xml:space="preserve">1081 damaged buildings at </w:t>
      </w:r>
      <w:r w:rsidR="003D5BFF">
        <w:t>$</w:t>
      </w:r>
      <w:r w:rsidR="00800E26">
        <w:t>15.9M</w:t>
      </w:r>
      <w:r w:rsidR="003D5BFF">
        <w:t xml:space="preserve">), </w:t>
      </w:r>
      <w:r w:rsidR="003D5BFF" w:rsidRPr="005013FB">
        <w:rPr>
          <w:b/>
          <w:bCs/>
          <w:color w:val="1F4E79" w:themeColor="accent1" w:themeShade="80"/>
        </w:rPr>
        <w:t>Greenbrier Unincorporated</w:t>
      </w:r>
      <w:r w:rsidR="003D5BFF">
        <w:t xml:space="preserve"> (</w:t>
      </w:r>
      <w:r w:rsidR="00800E26">
        <w:t xml:space="preserve">546 bldgs. at </w:t>
      </w:r>
      <w:r w:rsidR="003D5BFF">
        <w:t>$7.</w:t>
      </w:r>
      <w:r w:rsidR="00800E26">
        <w:t>1</w:t>
      </w:r>
      <w:r w:rsidR="003D5BFF">
        <w:t xml:space="preserve">M), </w:t>
      </w:r>
      <w:r w:rsidR="003D5BFF" w:rsidRPr="005013FB">
        <w:rPr>
          <w:b/>
          <w:bCs/>
          <w:color w:val="1F4E79" w:themeColor="accent1" w:themeShade="80"/>
        </w:rPr>
        <w:t xml:space="preserve">Pocahontas County </w:t>
      </w:r>
      <w:r w:rsidR="003D5BFF">
        <w:t>(</w:t>
      </w:r>
      <w:r w:rsidR="00800E26">
        <w:t xml:space="preserve">520 bldgs. at </w:t>
      </w:r>
      <w:r w:rsidR="003D5BFF">
        <w:t>$5.</w:t>
      </w:r>
      <w:r w:rsidR="003C13E9">
        <w:t>7</w:t>
      </w:r>
      <w:r w:rsidR="003D5BFF">
        <w:t xml:space="preserve">M), </w:t>
      </w:r>
      <w:r w:rsidR="003C13E9" w:rsidRPr="003C13E9">
        <w:rPr>
          <w:b/>
          <w:bCs/>
          <w:color w:val="1F4E79" w:themeColor="accent1" w:themeShade="80"/>
        </w:rPr>
        <w:t>Ronceverte</w:t>
      </w:r>
      <w:r w:rsidR="003C13E9">
        <w:t xml:space="preserve"> (50 bldgs. at $5.4 Million), </w:t>
      </w:r>
      <w:r w:rsidR="003D5BFF" w:rsidRPr="005013FB">
        <w:rPr>
          <w:b/>
          <w:bCs/>
          <w:color w:val="1F4E79" w:themeColor="accent1" w:themeShade="80"/>
        </w:rPr>
        <w:t>Fayette County</w:t>
      </w:r>
      <w:r w:rsidR="003D5BFF">
        <w:t xml:space="preserve"> ($5.1M), </w:t>
      </w:r>
      <w:r w:rsidR="003D5BFF" w:rsidRPr="005013FB">
        <w:rPr>
          <w:b/>
          <w:bCs/>
          <w:color w:val="1F4E79" w:themeColor="accent1" w:themeShade="80"/>
        </w:rPr>
        <w:t>Fayette Unincorporated</w:t>
      </w:r>
      <w:r w:rsidR="003D5BFF">
        <w:t xml:space="preserve"> ($4.</w:t>
      </w:r>
      <w:r w:rsidR="00800E26">
        <w:t>4</w:t>
      </w:r>
      <w:r w:rsidR="003D5BFF">
        <w:t xml:space="preserve">M), and </w:t>
      </w:r>
      <w:r w:rsidR="003D5BFF" w:rsidRPr="005013FB">
        <w:rPr>
          <w:b/>
          <w:bCs/>
          <w:color w:val="1F4E79" w:themeColor="accent1" w:themeShade="80"/>
        </w:rPr>
        <w:t>Marlinton</w:t>
      </w:r>
      <w:r w:rsidR="003D5BFF">
        <w:t xml:space="preserve"> ($3.</w:t>
      </w:r>
      <w:r w:rsidR="00800E26">
        <w:t>4</w:t>
      </w:r>
      <w:r w:rsidR="003D5BFF">
        <w:t>M).</w:t>
      </w:r>
      <w:r w:rsidR="00E713D2">
        <w:t xml:space="preserve"> </w:t>
      </w:r>
    </w:p>
    <w:p w14:paraId="3F3C35DE" w14:textId="0EFDF67A" w:rsidR="00AF470F" w:rsidRDefault="00CA72C6" w:rsidP="00AF470F">
      <w:r w:rsidRPr="00800E26">
        <w:rPr>
          <w:highlight w:val="yellow"/>
        </w:rPr>
        <w:t xml:space="preserve">Communities at or above the statewide </w:t>
      </w:r>
      <w:r w:rsidRPr="00800E26">
        <w:rPr>
          <w:i/>
          <w:iCs/>
          <w:highlight w:val="yellow"/>
        </w:rPr>
        <w:t xml:space="preserve">median damage value of $6,000 </w:t>
      </w:r>
      <w:r w:rsidRPr="00800E26">
        <w:rPr>
          <w:highlight w:val="yellow"/>
        </w:rPr>
        <w:t xml:space="preserve">are </w:t>
      </w:r>
      <w:r w:rsidRPr="00800E26">
        <w:rPr>
          <w:b/>
          <w:bCs/>
          <w:color w:val="1F4E79" w:themeColor="accent1" w:themeShade="80"/>
          <w:highlight w:val="yellow"/>
        </w:rPr>
        <w:t xml:space="preserve">Summersville </w:t>
      </w:r>
      <w:r w:rsidRPr="00800E26">
        <w:rPr>
          <w:highlight w:val="yellow"/>
        </w:rPr>
        <w:t xml:space="preserve">($30K), </w:t>
      </w:r>
      <w:r w:rsidRPr="00800E26">
        <w:rPr>
          <w:b/>
          <w:bCs/>
          <w:color w:val="1F4E79" w:themeColor="accent1" w:themeShade="80"/>
          <w:highlight w:val="yellow"/>
        </w:rPr>
        <w:t>Montgomery – Fayette</w:t>
      </w:r>
      <w:r w:rsidRPr="00800E26">
        <w:rPr>
          <w:highlight w:val="yellow"/>
        </w:rPr>
        <w:t xml:space="preserve"> ($12K), </w:t>
      </w:r>
      <w:r w:rsidRPr="00800E26">
        <w:rPr>
          <w:b/>
          <w:bCs/>
          <w:color w:val="1F4E79" w:themeColor="accent1" w:themeShade="80"/>
          <w:highlight w:val="yellow"/>
        </w:rPr>
        <w:t>Alderson – Greenbrier</w:t>
      </w:r>
      <w:r w:rsidRPr="00800E26">
        <w:rPr>
          <w:highlight w:val="yellow"/>
        </w:rPr>
        <w:t xml:space="preserve"> ($7K), </w:t>
      </w:r>
      <w:r w:rsidRPr="00800E26">
        <w:rPr>
          <w:b/>
          <w:bCs/>
          <w:color w:val="1F4E79" w:themeColor="accent1" w:themeShade="80"/>
          <w:highlight w:val="yellow"/>
        </w:rPr>
        <w:t>Greenbrier Unincorporated</w:t>
      </w:r>
      <w:r w:rsidRPr="00800E26">
        <w:rPr>
          <w:highlight w:val="yellow"/>
        </w:rPr>
        <w:t xml:space="preserve"> ($6K), </w:t>
      </w:r>
      <w:r w:rsidRPr="00800E26">
        <w:rPr>
          <w:b/>
          <w:bCs/>
          <w:color w:val="1F4E79" w:themeColor="accent1" w:themeShade="80"/>
          <w:highlight w:val="yellow"/>
        </w:rPr>
        <w:t>Nicholas Unincorporated</w:t>
      </w:r>
      <w:r w:rsidRPr="00800E26">
        <w:rPr>
          <w:highlight w:val="yellow"/>
        </w:rPr>
        <w:t xml:space="preserve"> ($6K), and</w:t>
      </w:r>
      <w:r w:rsidRPr="00800E26">
        <w:rPr>
          <w:b/>
          <w:bCs/>
          <w:color w:val="1F4E79" w:themeColor="accent1" w:themeShade="80"/>
          <w:highlight w:val="yellow"/>
        </w:rPr>
        <w:t xml:space="preserve"> Pocahontas Unincorporated</w:t>
      </w:r>
      <w:r w:rsidRPr="00800E26">
        <w:rPr>
          <w:highlight w:val="yellow"/>
        </w:rPr>
        <w:t xml:space="preserve"> ($6K).  All these communities are greater than the statewide </w:t>
      </w:r>
      <w:r w:rsidRPr="00800E26">
        <w:rPr>
          <w:i/>
          <w:iCs/>
          <w:highlight w:val="yellow"/>
        </w:rPr>
        <w:t>mean dollar damage value of $17,000</w:t>
      </w:r>
      <w:r w:rsidRPr="00800E26">
        <w:rPr>
          <w:highlight w:val="yellow"/>
        </w:rPr>
        <w:t>.</w:t>
      </w:r>
    </w:p>
    <w:p w14:paraId="0C53D0F4" w14:textId="155DD77D" w:rsidR="00E713D2" w:rsidRDefault="001A11B3" w:rsidP="001C1A03">
      <w:r>
        <w:t xml:space="preserve">TEIF </w:t>
      </w:r>
      <w:r w:rsidR="00FE6FFC">
        <w:t xml:space="preserve">Building Dollar </w:t>
      </w:r>
      <w:r>
        <w:t xml:space="preserve">Loss Ratio:  The Total Building Dollar Value Exposure in the </w:t>
      </w:r>
      <w:r w:rsidR="00FE6FFC">
        <w:t>f</w:t>
      </w:r>
      <w:r>
        <w:t xml:space="preserve">loodplain is divided by the Flood Loss </w:t>
      </w:r>
      <w:r w:rsidR="00FE6FFC">
        <w:t xml:space="preserve">Damage Dollar </w:t>
      </w:r>
      <w:r>
        <w:t>Estimates for a 1%-annual-chance flood to determine the ratio between building dollar exposure and flood loss damage estimates.</w:t>
      </w:r>
      <w:r w:rsidR="003C13E9">
        <w:t xml:space="preserve">  </w:t>
      </w:r>
      <w:r>
        <w:t>C</w:t>
      </w:r>
      <w:r w:rsidR="00E713D2">
        <w:t>ommunities with the largest loss ratio</w:t>
      </w:r>
      <w:r w:rsidR="00FE6FFC">
        <w:t>s</w:t>
      </w:r>
      <w:r w:rsidR="00E713D2">
        <w:t xml:space="preserve"> between the floodplain building dollar damage and building dollar exposure are </w:t>
      </w:r>
      <w:r w:rsidR="00E713D2" w:rsidRPr="00800E26">
        <w:rPr>
          <w:b/>
          <w:bCs/>
          <w:color w:val="1F4E79" w:themeColor="accent1" w:themeShade="80"/>
        </w:rPr>
        <w:t xml:space="preserve">Camden-on-Gauley </w:t>
      </w:r>
      <w:r w:rsidR="00E713D2">
        <w:t xml:space="preserve">(17%), </w:t>
      </w:r>
      <w:r w:rsidR="00E713D2" w:rsidRPr="00800E26">
        <w:rPr>
          <w:b/>
          <w:bCs/>
          <w:color w:val="1F4E79" w:themeColor="accent1" w:themeShade="80"/>
        </w:rPr>
        <w:t>Pax</w:t>
      </w:r>
      <w:r w:rsidR="00E713D2">
        <w:t xml:space="preserve"> (10%), </w:t>
      </w:r>
      <w:r w:rsidR="00E713D2" w:rsidRPr="00800E26">
        <w:rPr>
          <w:b/>
          <w:bCs/>
          <w:color w:val="1F4E79" w:themeColor="accent1" w:themeShade="80"/>
        </w:rPr>
        <w:t xml:space="preserve">Alderson </w:t>
      </w:r>
      <w:r w:rsidR="00E713D2">
        <w:t xml:space="preserve">(10%), and </w:t>
      </w:r>
      <w:r w:rsidR="00E713D2" w:rsidRPr="00800E26">
        <w:rPr>
          <w:b/>
          <w:bCs/>
          <w:color w:val="1F4E79" w:themeColor="accent1" w:themeShade="80"/>
        </w:rPr>
        <w:t>Marlinton</w:t>
      </w:r>
      <w:r w:rsidR="00E713D2">
        <w:t xml:space="preserve"> (10%). </w:t>
      </w:r>
    </w:p>
    <w:p w14:paraId="22EEA37C" w14:textId="1002AE4F" w:rsidR="00EC27CB" w:rsidRDefault="00FE6FFC" w:rsidP="00AF470F">
      <w:bookmarkStart w:id="32" w:name="_Toc114650849"/>
      <w:r w:rsidRPr="00EC27CB">
        <w:rPr>
          <w:rStyle w:val="Heading3Char"/>
        </w:rPr>
        <w:lastRenderedPageBreak/>
        <w:t>TEIF Building Percent Loss Estimates</w:t>
      </w:r>
      <w:bookmarkEnd w:id="32"/>
      <w:r>
        <w:t xml:space="preserve">:  </w:t>
      </w:r>
      <w:r w:rsidR="00BC0918">
        <w:t>The community</w:t>
      </w:r>
      <w:r>
        <w:t xml:space="preserve"> with the largest loss ratio between the floodplain building dollar damage and building dollar exposure </w:t>
      </w:r>
      <w:r w:rsidR="00BC0918">
        <w:t>is the town of</w:t>
      </w:r>
      <w:r>
        <w:t xml:space="preserve"> Camden-on-Gauley</w:t>
      </w:r>
      <w:r w:rsidR="00BC0918">
        <w:t xml:space="preserve"> in Webster County.  </w:t>
      </w:r>
      <w:r w:rsidR="005337EC">
        <w:t xml:space="preserve">Communities at or above the statewide percent median damage of 17% </w:t>
      </w:r>
      <w:r w:rsidR="00BC0918">
        <w:t xml:space="preserve">are </w:t>
      </w:r>
      <w:r w:rsidR="005337EC" w:rsidRPr="005013FB">
        <w:rPr>
          <w:b/>
          <w:bCs/>
          <w:color w:val="1F4E79" w:themeColor="accent1" w:themeShade="80"/>
        </w:rPr>
        <w:t>Camden-on-Gauley</w:t>
      </w:r>
      <w:r w:rsidR="00BC0918" w:rsidRPr="005013FB">
        <w:rPr>
          <w:b/>
          <w:bCs/>
          <w:color w:val="1F4E79" w:themeColor="accent1" w:themeShade="80"/>
        </w:rPr>
        <w:t xml:space="preserve"> </w:t>
      </w:r>
      <w:r w:rsidR="00BC0918">
        <w:t>(32%)</w:t>
      </w:r>
      <w:r w:rsidR="005337EC">
        <w:t xml:space="preserve">, </w:t>
      </w:r>
      <w:r w:rsidR="005337EC" w:rsidRPr="005013FB">
        <w:rPr>
          <w:b/>
          <w:bCs/>
          <w:color w:val="1F4E79" w:themeColor="accent1" w:themeShade="80"/>
        </w:rPr>
        <w:t>Summersville</w:t>
      </w:r>
      <w:r w:rsidR="005337EC">
        <w:t xml:space="preserve"> (</w:t>
      </w:r>
      <w:r w:rsidR="00BC0918">
        <w:t>28%)</w:t>
      </w:r>
      <w:r w:rsidR="005337EC">
        <w:t xml:space="preserve">, </w:t>
      </w:r>
      <w:r w:rsidR="005337EC" w:rsidRPr="005013FB">
        <w:rPr>
          <w:b/>
          <w:bCs/>
          <w:color w:val="1F4E79" w:themeColor="accent1" w:themeShade="80"/>
        </w:rPr>
        <w:t>Greenbrier Unincorporated</w:t>
      </w:r>
      <w:r w:rsidR="005337EC">
        <w:t xml:space="preserve"> (</w:t>
      </w:r>
      <w:r w:rsidR="00BC0918">
        <w:t>24%</w:t>
      </w:r>
      <w:r w:rsidR="005337EC">
        <w:t xml:space="preserve">), </w:t>
      </w:r>
      <w:r w:rsidR="00BC0918" w:rsidRPr="005013FB">
        <w:rPr>
          <w:b/>
          <w:bCs/>
          <w:color w:val="1F4E79" w:themeColor="accent1" w:themeShade="80"/>
        </w:rPr>
        <w:t>Montgomery – Fayette</w:t>
      </w:r>
      <w:r w:rsidR="00BC0918">
        <w:t xml:space="preserve"> (18%), and </w:t>
      </w:r>
      <w:r w:rsidR="00BC0918" w:rsidRPr="005013FB">
        <w:rPr>
          <w:b/>
          <w:bCs/>
          <w:color w:val="1F4E79" w:themeColor="accent1" w:themeShade="80"/>
        </w:rPr>
        <w:t xml:space="preserve">Pocahontas Unincorporated </w:t>
      </w:r>
      <w:r w:rsidR="00BC0918">
        <w:t>(17%).</w:t>
      </w:r>
      <w:r w:rsidR="00800E26">
        <w:t xml:space="preserve">  </w:t>
      </w:r>
    </w:p>
    <w:p w14:paraId="51E5BA2E" w14:textId="75245A5D" w:rsidR="005B043B" w:rsidRDefault="005B043B" w:rsidP="00AF470F"/>
    <w:p w14:paraId="0EAB91F5" w14:textId="19002545" w:rsidR="005B043B" w:rsidRDefault="005B043B" w:rsidP="00AF470F">
      <w:r>
        <w:t>Highest Damaged Structures:  dddddddddddddddddddddddd</w:t>
      </w:r>
    </w:p>
    <w:p w14:paraId="1798A07D" w14:textId="774C63EB" w:rsidR="005B043B" w:rsidRDefault="005B043B" w:rsidP="00AF470F">
      <w:pPr>
        <w:rPr>
          <w:rStyle w:val="Heading3Char"/>
        </w:rPr>
      </w:pPr>
      <w:r>
        <w:rPr>
          <w:noProof/>
        </w:rPr>
        <w:drawing>
          <wp:inline distT="0" distB="0" distL="0" distR="0" wp14:anchorId="48A23205" wp14:editId="4600CE9D">
            <wp:extent cx="5943600" cy="3265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265170"/>
                    </a:xfrm>
                    <a:prstGeom prst="rect">
                      <a:avLst/>
                    </a:prstGeom>
                  </pic:spPr>
                </pic:pic>
              </a:graphicData>
            </a:graphic>
          </wp:inline>
        </w:drawing>
      </w:r>
    </w:p>
    <w:p w14:paraId="35E02FDE" w14:textId="6331AB60" w:rsidR="005B043B" w:rsidRDefault="0087303C" w:rsidP="00AF470F">
      <w:pPr>
        <w:rPr>
          <w:rStyle w:val="Heading3Char"/>
          <w:b w:val="0"/>
          <w:bCs/>
        </w:rPr>
      </w:pPr>
      <w:hyperlink r:id="rId26" w:history="1">
        <w:r w:rsidR="00422B7A" w:rsidRPr="00BD4952">
          <w:rPr>
            <w:rStyle w:val="Hyperlink"/>
            <w:rFonts w:eastAsiaTheme="majorEastAsia" w:cstheme="majorBidi"/>
            <w:bCs/>
            <w:szCs w:val="24"/>
          </w:rPr>
          <w:t>http://mapwv.gov/flood/map/?wkid=102100&amp;x=-8957910&amp;y=4543190&amp;l=11&amp;v=2</w:t>
        </w:r>
      </w:hyperlink>
    </w:p>
    <w:p w14:paraId="41C2932B" w14:textId="77777777" w:rsidR="00422B7A" w:rsidRPr="00422B7A" w:rsidRDefault="00422B7A" w:rsidP="00AF470F">
      <w:pPr>
        <w:rPr>
          <w:rStyle w:val="Heading3Char"/>
          <w:b w:val="0"/>
          <w:bCs/>
        </w:rPr>
      </w:pPr>
    </w:p>
    <w:p w14:paraId="559D89ED" w14:textId="17C11E85" w:rsidR="00EC27CB" w:rsidRDefault="00EC27CB" w:rsidP="00EC27CB">
      <w:pPr>
        <w:pStyle w:val="Heading2"/>
        <w:rPr>
          <w:rStyle w:val="Heading3Char"/>
        </w:rPr>
      </w:pPr>
      <w:bookmarkStart w:id="33" w:name="_Toc114650850"/>
      <w:r w:rsidRPr="006A66B2">
        <w:t>Substantial Damage Estimates</w:t>
      </w:r>
      <w:bookmarkEnd w:id="33"/>
    </w:p>
    <w:p w14:paraId="0C148FAD" w14:textId="178A100F" w:rsidR="001A39A1" w:rsidRDefault="00EC27CB" w:rsidP="00AF470F">
      <w:r w:rsidRPr="001A39A1">
        <w:t xml:space="preserve">Damage of any origin sustained by a structure whereby the cost of restoring the structure to its before damaged condition would </w:t>
      </w:r>
      <w:r w:rsidRPr="001A39A1">
        <w:rPr>
          <w:i/>
          <w:iCs/>
        </w:rPr>
        <w:t>equal or exceed 50 percent</w:t>
      </w:r>
      <w:r w:rsidRPr="001A39A1">
        <w:t xml:space="preserve"> of the market value of the structure before the damage occurred.</w:t>
      </w:r>
      <w:r>
        <w:t xml:space="preserve">  </w:t>
      </w:r>
      <w:r>
        <w:br/>
      </w:r>
      <w:r>
        <w:rPr>
          <w:rStyle w:val="Heading3Char"/>
        </w:rPr>
        <w:br/>
      </w:r>
      <w:r w:rsidR="00CA72C6" w:rsidRPr="00EC27CB">
        <w:rPr>
          <w:rStyle w:val="Heading3Char"/>
        </w:rPr>
        <w:t>Substantial Damage Estimates</w:t>
      </w:r>
      <w:r w:rsidR="00CA72C6">
        <w:t xml:space="preserve">: </w:t>
      </w:r>
      <w:r w:rsidR="001A39A1">
        <w:t xml:space="preserve"> Unincorporated communities estimated to have more than 75 building substantially damaged from a 1%-annual-chance flood are Fayette and Greenbrier counties. The </w:t>
      </w:r>
      <w:r w:rsidR="00B31971">
        <w:t>incorporated town</w:t>
      </w:r>
      <w:r w:rsidR="001A39A1">
        <w:t xml:space="preserve"> of Marlinton is estimated to have the 18 substantially damaged buildings, the highest number for a municipality in Region 4.</w:t>
      </w:r>
      <w:r w:rsidR="00B31971">
        <w:t xml:space="preserve">  The communities with the highest percentage of substantially damaged buildings are Camden-On-Gauley (19%), Greenbrier Unincorporated (9%), Fayette County (5%), and Marlinton (5%). </w:t>
      </w:r>
      <w:r w:rsidR="003C74DE">
        <w:t xml:space="preserve">  The top two counties with buildings where the building damage is &gt;= 50% and damage loss estimates &gt; $10,000 are Greenbrier County (1,152 buildings) and Fayette County (718) buildings.</w:t>
      </w:r>
      <w:r w:rsidR="00B31971">
        <w:t xml:space="preserve"> </w:t>
      </w:r>
    </w:p>
    <w:p w14:paraId="7D8C9979" w14:textId="77777777" w:rsidR="001C1A03" w:rsidRPr="001C1A03" w:rsidRDefault="001C1A03" w:rsidP="001C1A03"/>
    <w:p w14:paraId="26CE118B" w14:textId="05E48680" w:rsidR="00716087" w:rsidRDefault="009F1A85" w:rsidP="00085430">
      <w:pPr>
        <w:pStyle w:val="Heading2"/>
      </w:pPr>
      <w:bookmarkStart w:id="34" w:name="_Toc114650851"/>
      <w:r>
        <w:t xml:space="preserve">Building </w:t>
      </w:r>
      <w:r w:rsidR="00716087" w:rsidRPr="00A45F08">
        <w:t>Debris Removal Estimates</w:t>
      </w:r>
      <w:bookmarkEnd w:id="34"/>
    </w:p>
    <w:p w14:paraId="02E7173A" w14:textId="31F4FFCA" w:rsidR="00085430" w:rsidRDefault="00085430" w:rsidP="00085430">
      <w:r>
        <w:t>Building debris removal estimates are computed at the building level for a 1%-annual-chance flood event using FEMA’s Hazus flood model methodology.</w:t>
      </w:r>
      <w:r w:rsidR="006B7815">
        <w:t xml:space="preserve">  The model calculate only debris from the structure and not other types of debris (e.g., woody debris, sediment, content of buildings, etc.).</w:t>
      </w:r>
    </w:p>
    <w:p w14:paraId="1A31722D" w14:textId="3C0FCED1" w:rsidR="009F1A85" w:rsidRDefault="00A45F08" w:rsidP="009F1A85">
      <w:r>
        <w:t xml:space="preserve">The community-level report shows total tonnage of </w:t>
      </w:r>
      <w:r w:rsidR="009F1A85">
        <w:t xml:space="preserve">building </w:t>
      </w:r>
      <w:r>
        <w:t>debris that will be generated from a riverine 1%-annual-chance flood event</w:t>
      </w:r>
      <w:r w:rsidR="009F1A85">
        <w:t xml:space="preserve"> for </w:t>
      </w:r>
      <w:r w:rsidR="009F1A85" w:rsidRPr="000F360D">
        <w:rPr>
          <w:b/>
          <w:bCs/>
          <w:color w:val="002060"/>
        </w:rPr>
        <w:t>Region 4</w:t>
      </w:r>
      <w:r w:rsidR="009F1A85">
        <w:t xml:space="preserve"> is 19,746 tons</w:t>
      </w:r>
      <w:r>
        <w:t>.</w:t>
      </w:r>
      <w:r w:rsidR="00D74E3E">
        <w:t xml:space="preserve">  </w:t>
      </w:r>
      <w:r>
        <w:t>Debris tonnage can be converted to estimate truckloads by dividing the total debris by 25 tons/truck</w:t>
      </w:r>
      <w:r w:rsidR="009F1A85">
        <w:t>, or 790 truckloads</w:t>
      </w:r>
      <w:r>
        <w:t>.</w:t>
      </w:r>
      <w:r w:rsidR="00D74E3E">
        <w:t xml:space="preserve">  Building debris estimates are dependent on flood-depth damage estimates and building area.  Structures with higher substantially damage estimates will correlate to higher debris.  Total county debris removal estimates are as follows:  </w:t>
      </w:r>
      <w:r w:rsidR="00D74E3E" w:rsidRPr="000F360D">
        <w:rPr>
          <w:b/>
          <w:bCs/>
          <w:color w:val="002060"/>
        </w:rPr>
        <w:t>Greenbrier County</w:t>
      </w:r>
      <w:r w:rsidR="00D74E3E">
        <w:t xml:space="preserve"> (5,921 tons), </w:t>
      </w:r>
      <w:r w:rsidR="00D74E3E" w:rsidRPr="000F360D">
        <w:rPr>
          <w:b/>
          <w:bCs/>
          <w:color w:val="002060"/>
        </w:rPr>
        <w:t>Pocahontas County</w:t>
      </w:r>
      <w:r w:rsidR="00D74E3E" w:rsidRPr="00D74E3E">
        <w:rPr>
          <w:b/>
          <w:bCs/>
          <w:color w:val="1F4E79" w:themeColor="accent1" w:themeShade="80"/>
        </w:rPr>
        <w:t xml:space="preserve"> </w:t>
      </w:r>
      <w:r w:rsidR="00D74E3E">
        <w:t xml:space="preserve">(5,068 tons), </w:t>
      </w:r>
      <w:r w:rsidR="00D74E3E" w:rsidRPr="000F360D">
        <w:rPr>
          <w:b/>
          <w:bCs/>
          <w:color w:val="002060"/>
        </w:rPr>
        <w:t>Fayette County</w:t>
      </w:r>
      <w:r w:rsidR="00D74E3E">
        <w:t xml:space="preserve"> (4,540 tons), </w:t>
      </w:r>
      <w:r w:rsidR="00D74E3E" w:rsidRPr="000F360D">
        <w:rPr>
          <w:b/>
          <w:bCs/>
          <w:color w:val="002060"/>
        </w:rPr>
        <w:t>Nicholas County</w:t>
      </w:r>
      <w:r w:rsidR="00D74E3E" w:rsidRPr="000F360D">
        <w:rPr>
          <w:color w:val="002060"/>
        </w:rPr>
        <w:t xml:space="preserve"> </w:t>
      </w:r>
      <w:r w:rsidR="00D74E3E">
        <w:t xml:space="preserve">(2,556 tons), and </w:t>
      </w:r>
      <w:r w:rsidR="00D74E3E" w:rsidRPr="000F360D">
        <w:rPr>
          <w:b/>
          <w:bCs/>
          <w:color w:val="002060"/>
        </w:rPr>
        <w:t>Webster County</w:t>
      </w:r>
      <w:r w:rsidR="00D74E3E" w:rsidRPr="000F360D">
        <w:rPr>
          <w:color w:val="002060"/>
        </w:rPr>
        <w:t xml:space="preserve"> </w:t>
      </w:r>
      <w:r w:rsidR="00D74E3E">
        <w:t>(1,661 tons).</w:t>
      </w:r>
      <w:r>
        <w:t xml:space="preserve">  The Building Level Risk Assessment (BLRA) geodatabase contains all debris categories (finished, structural, foundation) and total debris.</w:t>
      </w:r>
      <w:r w:rsidR="00D74E3E">
        <w:t xml:space="preserve">  The</w:t>
      </w:r>
      <w:r w:rsidR="009F1A85">
        <w:t xml:space="preserve"> debris models only estimate building debris and do not estimate woody (logs or trees) materials, sediment deposits, or damaged </w:t>
      </w:r>
      <w:r w:rsidR="00D74E3E">
        <w:t xml:space="preserve">building </w:t>
      </w:r>
      <w:r w:rsidR="009F1A85">
        <w:t>contents.</w:t>
      </w:r>
    </w:p>
    <w:p w14:paraId="371D3034" w14:textId="3CC9D845" w:rsidR="00A45F08" w:rsidRPr="00A45F08" w:rsidRDefault="00A45F08" w:rsidP="00A45F08">
      <w:pPr>
        <w:rPr>
          <w:i/>
          <w:iCs/>
        </w:rPr>
      </w:pPr>
      <w:r w:rsidRPr="00A45F08">
        <w:rPr>
          <w:i/>
          <w:iCs/>
        </w:rPr>
        <w:t>Debris disposal can be a significant issue following floods.  The Hazus Flood Model estimates debris from building damage during floods, including building finishes, and structural components. The physical damage estimates are not made for building contents, or for bridges or other lifelines.  Debris removal estimates should be incorporated into debris removal plans.</w:t>
      </w:r>
    </w:p>
    <w:p w14:paraId="7D3B47FF" w14:textId="2BC36AC7" w:rsidR="00A45F08" w:rsidRDefault="00A45F08" w:rsidP="00BC2228">
      <w:r>
        <w:t>Debris Removal Methodology.  FEMA’s Hazus Flood Model debris estimation methodology determines the expected amounts of debris generated at various depths of water and reported at the building level. Output from this module is the debris weight (in tons). The classes of debris are defined as follows: (1) building finishes (carpeting, dry wall, insulation, etc.), (2) structural components (wood, brick, etc.) and (3) foundation materials (concrete slab, concrete block, rebar, etc.).  This distinction is made because of the different types of material handling equipment required to handle the debris.  For more information about the Hazus Flood Model debris estimation methodology, refer to the Hazus-MH Technical Manual.</w:t>
      </w:r>
      <w:r w:rsidR="003B2D56">
        <w:t xml:space="preserve">  </w:t>
      </w:r>
    </w:p>
    <w:p w14:paraId="0C616F8B" w14:textId="267A9401" w:rsidR="00A45F08" w:rsidRDefault="00A45F08" w:rsidP="00BC2228"/>
    <w:p w14:paraId="1AE4EC0F" w14:textId="15DA32BB" w:rsidR="00716087" w:rsidRDefault="00716087" w:rsidP="001A0F6C">
      <w:pPr>
        <w:pStyle w:val="Heading2"/>
      </w:pPr>
      <w:bookmarkStart w:id="35" w:name="_Toc114650852"/>
      <w:r>
        <w:t xml:space="preserve">Population </w:t>
      </w:r>
      <w:r w:rsidR="001A0F6C">
        <w:t xml:space="preserve">Displacement </w:t>
      </w:r>
      <w:r>
        <w:t>and Short-Term Shelter Estimates</w:t>
      </w:r>
      <w:bookmarkEnd w:id="35"/>
    </w:p>
    <w:p w14:paraId="3F7C842C" w14:textId="565BD4E5" w:rsidR="00716087" w:rsidRDefault="00085430" w:rsidP="00BC2228">
      <w:r>
        <w:t>Population displacement at the building level and short-term shelter requirements at the community level are computed for a 1%-annual-chance flood event using FEMA’s Hazus flood model methodology.</w:t>
      </w:r>
    </w:p>
    <w:p w14:paraId="76B650D3" w14:textId="7A2D1FCF" w:rsidR="001A0F6C" w:rsidRDefault="001A0F6C" w:rsidP="001A0F6C">
      <w:r>
        <w:t>A Short-Term Shelter is in an existing facility (or facilities), such as a school, community center, convention center, or church temporarily converted to provide safe, accessible, and secure short-term housing for disaster survivors.  It provides safe and accessible locations with a wide range of services for the survivors for up to two weeks.</w:t>
      </w:r>
      <w:r w:rsidR="00CD6ABB">
        <w:t xml:space="preserve">  </w:t>
      </w:r>
      <w:r w:rsidR="00CD6ABB" w:rsidRPr="00CD6ABB">
        <w:t>Most American Red Cross shelters cannot accept pets because of health and safety concerns and other considerations</w:t>
      </w:r>
      <w:r w:rsidR="00CD6ABB">
        <w:t>, so displaced people may need to find alternative sheltering arrangements</w:t>
      </w:r>
      <w:r w:rsidR="00CD6ABB" w:rsidRPr="00CD6ABB">
        <w:t>.</w:t>
      </w:r>
      <w:r>
        <w:tab/>
      </w:r>
    </w:p>
    <w:p w14:paraId="509F06C8" w14:textId="6F85B8B7" w:rsidR="001A0F6C" w:rsidRDefault="00CD6ABB" w:rsidP="001A0F6C">
      <w:r>
        <w:t xml:space="preserve">Shelter Model </w:t>
      </w:r>
      <w:r w:rsidR="001A0F6C">
        <w:t xml:space="preserve">Methodology.  The number of displaced people in the 1%-annual-chance (100-year) floodplain was calculated for all residential occupancy units for a flood inundation depth equal or greater than </w:t>
      </w:r>
      <w:r w:rsidR="00E825A0">
        <w:t>one</w:t>
      </w:r>
      <w:r w:rsidR="001A0F6C">
        <w:t xml:space="preserve"> foot depth.  Population displacement per structure is calculated from multiplying </w:t>
      </w:r>
      <w:r w:rsidR="001A0F6C">
        <w:lastRenderedPageBreak/>
        <w:t xml:space="preserve">residential units by the average household size determined from 2019 Census data.  At the community level, short-term shelter needs are computed according to FEMA's Flood Model Hazus-MH Technical Manual that incorporates population displacement and weighted </w:t>
      </w:r>
      <w:r w:rsidR="00E825A0">
        <w:t xml:space="preserve">socio-economic </w:t>
      </w:r>
      <w:r w:rsidR="001A0F6C">
        <w:t xml:space="preserve">categories of </w:t>
      </w:r>
      <w:r w:rsidR="001A0F6C" w:rsidRPr="00E825A0">
        <w:rPr>
          <w:i/>
          <w:iCs/>
        </w:rPr>
        <w:t>income</w:t>
      </w:r>
      <w:r w:rsidR="00E825A0">
        <w:t xml:space="preserve"> (80% weight)</w:t>
      </w:r>
      <w:r w:rsidR="001A0F6C">
        <w:t xml:space="preserve"> and </w:t>
      </w:r>
      <w:r w:rsidR="001A0F6C" w:rsidRPr="00E825A0">
        <w:rPr>
          <w:i/>
          <w:iCs/>
        </w:rPr>
        <w:t>age</w:t>
      </w:r>
      <w:r w:rsidR="00E825A0">
        <w:t xml:space="preserve"> (20% weight)</w:t>
      </w:r>
      <w:r w:rsidR="001A0F6C">
        <w:t xml:space="preserve">.  The </w:t>
      </w:r>
      <w:r w:rsidR="00E825A0">
        <w:t xml:space="preserve">primary </w:t>
      </w:r>
      <w:r w:rsidR="001A0F6C">
        <w:t>facto</w:t>
      </w:r>
      <w:r w:rsidR="00E825A0">
        <w:t xml:space="preserve">r </w:t>
      </w:r>
      <w:r w:rsidR="00E825A0" w:rsidRPr="00E825A0">
        <w:rPr>
          <w:i/>
          <w:iCs/>
        </w:rPr>
        <w:t>income</w:t>
      </w:r>
      <w:r w:rsidR="001A0F6C">
        <w:t xml:space="preserve"> consists of five income classes adjusted to inflation (&lt; $20K, $20-$30K, $30-$50K, $50-$60K, &gt; $60K) and </w:t>
      </w:r>
      <w:r w:rsidR="00E825A0">
        <w:t xml:space="preserve">secondary factor </w:t>
      </w:r>
      <w:r w:rsidR="001A0F6C" w:rsidRPr="00E825A0">
        <w:rPr>
          <w:i/>
          <w:iCs/>
        </w:rPr>
        <w:t>age</w:t>
      </w:r>
      <w:r w:rsidR="001A0F6C">
        <w:t xml:space="preserve"> </w:t>
      </w:r>
      <w:r w:rsidR="00E825A0">
        <w:t>of</w:t>
      </w:r>
      <w:r w:rsidR="001A0F6C">
        <w:t xml:space="preserve"> three age classes (&lt; 15 years, 15-64 years, &gt; 65 years).  The </w:t>
      </w:r>
      <w:r w:rsidR="00E825A0">
        <w:t xml:space="preserve">shelter model </w:t>
      </w:r>
      <w:r w:rsidR="001A0F6C">
        <w:t xml:space="preserve">equation determines the number of </w:t>
      </w:r>
      <w:r w:rsidR="00E825A0">
        <w:t xml:space="preserve">displaced </w:t>
      </w:r>
      <w:r w:rsidR="001A0F6C">
        <w:t xml:space="preserve">people requiring </w:t>
      </w:r>
      <w:r w:rsidR="000450E8">
        <w:t xml:space="preserve">established </w:t>
      </w:r>
      <w:r w:rsidR="001A0F6C">
        <w:t>shelter</w:t>
      </w:r>
      <w:r w:rsidR="000450E8">
        <w:t>s</w:t>
      </w:r>
      <w:r w:rsidR="001A0F6C">
        <w:t>.</w:t>
      </w:r>
      <w:r w:rsidR="00085430">
        <w:t xml:space="preserve">  Although only family income and age were factors for the population displacement/shelter need model, other factors such as ethnicity, housing ownership, and geography should be considered.</w:t>
      </w:r>
    </w:p>
    <w:p w14:paraId="6277DFB0" w14:textId="4A5D4C75" w:rsidR="00085430" w:rsidRDefault="00085430" w:rsidP="00085430">
      <w:pPr>
        <w:pStyle w:val="ListParagraph"/>
        <w:numPr>
          <w:ilvl w:val="0"/>
          <w:numId w:val="6"/>
        </w:numPr>
      </w:pPr>
      <w:r>
        <w:t xml:space="preserve">Family Income: (HH Income &lt; $20K; $20K-$30K; $30K-$50K; $50K-$60K; HH Income &gt; $60K) </w:t>
      </w:r>
    </w:p>
    <w:p w14:paraId="2BCD538E" w14:textId="784B11E5" w:rsidR="00085430" w:rsidRDefault="00085430" w:rsidP="00085430">
      <w:pPr>
        <w:pStyle w:val="ListParagraph"/>
        <w:numPr>
          <w:ilvl w:val="0"/>
          <w:numId w:val="6"/>
        </w:numPr>
      </w:pPr>
      <w:r>
        <w:t>Age: (Age &lt; 15, 15 &lt; Age &lt; 65, Age &gt; 65)</w:t>
      </w:r>
    </w:p>
    <w:p w14:paraId="7F0B48A5" w14:textId="72FA85E2" w:rsidR="00085430" w:rsidRDefault="00085430" w:rsidP="00085430">
      <w:pPr>
        <w:pStyle w:val="ListParagraph"/>
        <w:numPr>
          <w:ilvl w:val="0"/>
          <w:numId w:val="6"/>
        </w:numPr>
      </w:pPr>
      <w:r w:rsidRPr="00274736">
        <w:rPr>
          <w:i/>
          <w:iCs/>
        </w:rPr>
        <w:t>Ethnicity</w:t>
      </w:r>
      <w:r>
        <w:t>: (White, African American, Hispanic, Asian/Other)</w:t>
      </w:r>
    </w:p>
    <w:p w14:paraId="5F4F2134" w14:textId="316DA92F" w:rsidR="00085430" w:rsidRDefault="00085430" w:rsidP="00085430">
      <w:pPr>
        <w:pStyle w:val="ListParagraph"/>
        <w:numPr>
          <w:ilvl w:val="0"/>
          <w:numId w:val="6"/>
        </w:numPr>
      </w:pPr>
      <w:r w:rsidRPr="00274736">
        <w:rPr>
          <w:i/>
          <w:iCs/>
        </w:rPr>
        <w:t>Housing Ownership</w:t>
      </w:r>
      <w:r w:rsidR="00274736">
        <w:t>:</w:t>
      </w:r>
      <w:r>
        <w:t xml:space="preserve"> Owned-occupied homes are inclined to be more floodproofed or resilient to flooding</w:t>
      </w:r>
      <w:r w:rsidR="00274736">
        <w:t>.</w:t>
      </w:r>
    </w:p>
    <w:p w14:paraId="35DECC94" w14:textId="77777777" w:rsidR="00274736" w:rsidRDefault="00274736" w:rsidP="00085430">
      <w:pPr>
        <w:pStyle w:val="ListParagraph"/>
        <w:numPr>
          <w:ilvl w:val="0"/>
          <w:numId w:val="6"/>
        </w:numPr>
      </w:pPr>
      <w:r w:rsidRPr="00274736">
        <w:rPr>
          <w:i/>
          <w:iCs/>
        </w:rPr>
        <w:t xml:space="preserve">Urban versus Rural </w:t>
      </w:r>
      <w:r w:rsidR="00085430" w:rsidRPr="00274736">
        <w:rPr>
          <w:i/>
          <w:iCs/>
        </w:rPr>
        <w:t>Geography</w:t>
      </w:r>
      <w:r w:rsidR="00085430">
        <w:t>:</w:t>
      </w:r>
      <w:r>
        <w:t xml:space="preserve">  Homeowners in r</w:t>
      </w:r>
      <w:r w:rsidR="00085430">
        <w:t xml:space="preserve">ural areas </w:t>
      </w:r>
      <w:r>
        <w:t xml:space="preserve">are more </w:t>
      </w:r>
      <w:r w:rsidR="00085430">
        <w:t>inclined to be more self reliant</w:t>
      </w:r>
      <w:r>
        <w:t>, or have nearby relatives to temporarily reside, and thus less dependent on shelters.</w:t>
      </w:r>
    </w:p>
    <w:p w14:paraId="3EE1818C" w14:textId="609BC1D2" w:rsidR="00274736" w:rsidRDefault="00CD6ABB" w:rsidP="001A0F6C">
      <w:r>
        <w:t xml:space="preserve">Shelter Model Estimate Compared to </w:t>
      </w:r>
      <w:r w:rsidR="000450E8">
        <w:t xml:space="preserve">June </w:t>
      </w:r>
      <w:r w:rsidR="00274736">
        <w:t>2016 Flood Sheltering</w:t>
      </w:r>
      <w:r>
        <w:t xml:space="preserve"> Data</w:t>
      </w:r>
      <w:r w:rsidR="00274736">
        <w:t xml:space="preserve">.  </w:t>
      </w:r>
      <w:r>
        <w:t xml:space="preserve">For </w:t>
      </w:r>
      <w:r w:rsidRPr="000450E8">
        <w:rPr>
          <w:b/>
          <w:bCs/>
          <w:color w:val="1F4E79" w:themeColor="accent1" w:themeShade="80"/>
        </w:rPr>
        <w:t>Greenbrier County</w:t>
      </w:r>
      <w:r>
        <w:t xml:space="preserve">, </w:t>
      </w:r>
      <w:r w:rsidRPr="00CD6ABB">
        <w:t>Red Cross sheltering data from the 2016 flood was compared to the shelter model estimates.  According to the Red Cross shelter data, a total of 114 people stayed at</w:t>
      </w:r>
      <w:r>
        <w:t xml:space="preserve"> six designated</w:t>
      </w:r>
      <w:r w:rsidRPr="00CD6ABB">
        <w:t xml:space="preserve"> Red Cross shelters during the flood event.  However, many displaced residents also stayed at unregistered shelters, including the 300 people at the Greenbrier Resort and 129 people at the Baptist Church gymnasium in Rainelle.  </w:t>
      </w:r>
      <w:r>
        <w:t xml:space="preserve">If the </w:t>
      </w:r>
      <w:r w:rsidRPr="00CD6ABB">
        <w:t>registered persons</w:t>
      </w:r>
      <w:r>
        <w:t xml:space="preserve"> of the Red Cross Shelters </w:t>
      </w:r>
      <w:r w:rsidR="000450E8">
        <w:t>requiring</w:t>
      </w:r>
      <w:r w:rsidRPr="00CD6ABB">
        <w:t xml:space="preserve"> shelter are summed together at 543 people, then this estimate is close to the shelter need model</w:t>
      </w:r>
      <w:r w:rsidR="000450E8">
        <w:t xml:space="preserve"> estimate</w:t>
      </w:r>
      <w:r w:rsidRPr="00CD6ABB">
        <w:t xml:space="preserve"> of 603 people</w:t>
      </w:r>
      <w:r>
        <w:t xml:space="preserve"> for Greenbrier County.</w:t>
      </w:r>
    </w:p>
    <w:p w14:paraId="03BC32F5" w14:textId="6C339D77" w:rsidR="001A0F6C" w:rsidRDefault="001A0F6C" w:rsidP="001A0F6C">
      <w:r>
        <w:t>Companion Pets.  Companion Dogs Shelter Need is calculated from 38.4% of households displaced, and Companion Cats Shelter Need from 25.4% of households displaced.  Pet displacement percentages are from the 2017-2018 U.S. Pet Ownership &amp; Demographics Sourcebook.</w:t>
      </w:r>
    </w:p>
    <w:p w14:paraId="0130F0B4" w14:textId="79A9A765" w:rsidR="001A0F6C" w:rsidRDefault="001A0F6C" w:rsidP="001A0F6C">
      <w:r>
        <w:t>Regional Summaries:  For</w:t>
      </w:r>
      <w:r w:rsidRPr="000450E8">
        <w:rPr>
          <w:b/>
          <w:bCs/>
          <w:color w:val="1F4E79" w:themeColor="accent1" w:themeShade="80"/>
        </w:rPr>
        <w:t xml:space="preserve"> </w:t>
      </w:r>
      <w:r w:rsidRPr="000F360D">
        <w:rPr>
          <w:b/>
          <w:bCs/>
          <w:color w:val="002060"/>
        </w:rPr>
        <w:t>Region 4</w:t>
      </w:r>
      <w:r>
        <w:t xml:space="preserve">, total population estimate is 115,679 people, estimated population in 1%-annual-chance floodplain is 15,147 people, total population displacement from a 1%-annual-chance flood event is 5,655 people, and 1,234 of the displaced persons requiring short-term shelter.  Companion dog and cat shelter requirements are 213 and 145, respectively.  Community breakdowns are below.   </w:t>
      </w:r>
    </w:p>
    <w:p w14:paraId="7AC7D8D2" w14:textId="76C2FC40" w:rsidR="001A0F6C" w:rsidRDefault="001A0F6C" w:rsidP="001A0F6C">
      <w:bookmarkStart w:id="36" w:name="_Toc114650853"/>
      <w:r w:rsidRPr="001A0F6C">
        <w:rPr>
          <w:rStyle w:val="Heading3Char"/>
        </w:rPr>
        <w:t>Population Residing in High-Risk Flood Zones</w:t>
      </w:r>
      <w:bookmarkEnd w:id="36"/>
      <w:r>
        <w:t xml:space="preserve">:  A high percentage of the population reside in the 1%-annual-chance floodplain for </w:t>
      </w:r>
      <w:r w:rsidRPr="000F360D">
        <w:rPr>
          <w:b/>
          <w:bCs/>
          <w:color w:val="002060"/>
        </w:rPr>
        <w:t>Marlinton</w:t>
      </w:r>
      <w:r>
        <w:t xml:space="preserve"> (65%), </w:t>
      </w:r>
      <w:r w:rsidRPr="000F360D">
        <w:rPr>
          <w:b/>
          <w:bCs/>
          <w:color w:val="002060"/>
        </w:rPr>
        <w:t>Rainelle</w:t>
      </w:r>
      <w:r w:rsidRPr="000F360D">
        <w:rPr>
          <w:color w:val="002060"/>
        </w:rPr>
        <w:t xml:space="preserve"> </w:t>
      </w:r>
      <w:r>
        <w:t xml:space="preserve">(43%), Pax (42%), </w:t>
      </w:r>
      <w:r w:rsidRPr="000F360D">
        <w:rPr>
          <w:b/>
          <w:bCs/>
          <w:color w:val="002060"/>
        </w:rPr>
        <w:t>White Sulphur Springs</w:t>
      </w:r>
      <w:r>
        <w:t xml:space="preserve"> (39%), </w:t>
      </w:r>
      <w:r w:rsidRPr="000F360D">
        <w:rPr>
          <w:b/>
          <w:bCs/>
          <w:color w:val="002060"/>
        </w:rPr>
        <w:t>Alderson</w:t>
      </w:r>
      <w:r>
        <w:t xml:space="preserve"> (31%), </w:t>
      </w:r>
      <w:r w:rsidRPr="000F360D">
        <w:rPr>
          <w:b/>
          <w:bCs/>
          <w:color w:val="002060"/>
        </w:rPr>
        <w:t>Richwood</w:t>
      </w:r>
      <w:r w:rsidRPr="000450E8">
        <w:rPr>
          <w:b/>
          <w:bCs/>
          <w:color w:val="1F4E79" w:themeColor="accent1" w:themeShade="80"/>
        </w:rPr>
        <w:t xml:space="preserve"> </w:t>
      </w:r>
      <w:r>
        <w:t xml:space="preserve">(29%), and </w:t>
      </w:r>
      <w:r w:rsidRPr="000F360D">
        <w:rPr>
          <w:b/>
          <w:bCs/>
          <w:color w:val="002060"/>
        </w:rPr>
        <w:t>Webster County Unincorporated</w:t>
      </w:r>
      <w:r>
        <w:t xml:space="preserve"> (28%).  The counties of </w:t>
      </w:r>
      <w:r w:rsidRPr="000F360D">
        <w:rPr>
          <w:b/>
          <w:bCs/>
          <w:color w:val="002060"/>
        </w:rPr>
        <w:t>Webster</w:t>
      </w:r>
      <w:r w:rsidRPr="000F360D">
        <w:rPr>
          <w:color w:val="002060"/>
        </w:rPr>
        <w:t xml:space="preserve"> </w:t>
      </w:r>
      <w:r>
        <w:t xml:space="preserve">(26%) and </w:t>
      </w:r>
      <w:r w:rsidRPr="000F360D">
        <w:rPr>
          <w:b/>
          <w:bCs/>
          <w:color w:val="002060"/>
        </w:rPr>
        <w:t>Pocahontas</w:t>
      </w:r>
      <w:r>
        <w:t xml:space="preserve"> (23%) have the highest percentages</w:t>
      </w:r>
      <w:r w:rsidR="000450E8">
        <w:t xml:space="preserve"> of population residing in the flood zone</w:t>
      </w:r>
      <w:r>
        <w:t>.</w:t>
      </w:r>
      <w:r w:rsidR="000450E8">
        <w:t xml:space="preserve">  Population estimates are calculated at the building level by multiplying the </w:t>
      </w:r>
      <w:r w:rsidR="006B7815">
        <w:t xml:space="preserve">Hazus defined </w:t>
      </w:r>
      <w:r w:rsidR="000450E8">
        <w:t>residential occupancy</w:t>
      </w:r>
      <w:r w:rsidR="006B7815">
        <w:t xml:space="preserve"> class</w:t>
      </w:r>
      <w:r w:rsidR="000450E8">
        <w:t xml:space="preserve"> units</w:t>
      </w:r>
      <w:r w:rsidR="006B7815">
        <w:t xml:space="preserve"> (source tax assessment database)</w:t>
      </w:r>
      <w:r w:rsidR="000450E8">
        <w:t xml:space="preserve"> by average household size</w:t>
      </w:r>
      <w:r w:rsidR="006B7815">
        <w:t xml:space="preserve"> (source Census)</w:t>
      </w:r>
      <w:r w:rsidR="000450E8">
        <w:t>.</w:t>
      </w:r>
    </w:p>
    <w:p w14:paraId="2D5844DF" w14:textId="78FFEC4E" w:rsidR="001A0F6C" w:rsidRDefault="001A0F6C" w:rsidP="001A0F6C">
      <w:bookmarkStart w:id="37" w:name="_Toc114650854"/>
      <w:r w:rsidRPr="001A0F6C">
        <w:rPr>
          <w:rStyle w:val="Heading3Char"/>
        </w:rPr>
        <w:t>Displaced Population for Flood Depth &gt;= 1 Foot</w:t>
      </w:r>
      <w:bookmarkEnd w:id="37"/>
      <w:r>
        <w:t xml:space="preserve">:  Counties with the largest amount of people displaced are </w:t>
      </w:r>
      <w:r w:rsidRPr="000F360D">
        <w:rPr>
          <w:b/>
          <w:bCs/>
          <w:color w:val="002060"/>
        </w:rPr>
        <w:t>Greenbrier County</w:t>
      </w:r>
      <w:r>
        <w:t xml:space="preserve"> (n=2870) and </w:t>
      </w:r>
      <w:r w:rsidRPr="000F360D">
        <w:rPr>
          <w:b/>
          <w:bCs/>
          <w:color w:val="002060"/>
        </w:rPr>
        <w:t>Pocahontas County</w:t>
      </w:r>
      <w:r w:rsidRPr="006B7815">
        <w:rPr>
          <w:b/>
          <w:bCs/>
          <w:color w:val="1F4E79" w:themeColor="accent1" w:themeShade="80"/>
        </w:rPr>
        <w:t xml:space="preserve"> </w:t>
      </w:r>
      <w:r>
        <w:t xml:space="preserve">(n-1200).  Significant communities with the highest displacement from a flood inundation of more than 1 foot are </w:t>
      </w:r>
      <w:r w:rsidRPr="000F360D">
        <w:rPr>
          <w:b/>
          <w:bCs/>
          <w:color w:val="002060"/>
        </w:rPr>
        <w:t>Marlinton</w:t>
      </w:r>
      <w:r>
        <w:t xml:space="preserve"> (85%), </w:t>
      </w:r>
      <w:r w:rsidRPr="000F360D">
        <w:rPr>
          <w:b/>
          <w:bCs/>
          <w:color w:val="002060"/>
        </w:rPr>
        <w:t>Rainelle</w:t>
      </w:r>
      <w:r>
        <w:t xml:space="preserve"> (85%), </w:t>
      </w:r>
      <w:r w:rsidRPr="000F360D">
        <w:rPr>
          <w:b/>
          <w:bCs/>
          <w:color w:val="002060"/>
        </w:rPr>
        <w:t>Alderson</w:t>
      </w:r>
      <w:r>
        <w:t xml:space="preserve"> (76%), </w:t>
      </w:r>
      <w:r w:rsidRPr="000F360D">
        <w:rPr>
          <w:b/>
          <w:bCs/>
          <w:color w:val="002060"/>
        </w:rPr>
        <w:t>Camden-on-Gauley</w:t>
      </w:r>
      <w:r w:rsidRPr="000F360D">
        <w:rPr>
          <w:color w:val="002060"/>
        </w:rPr>
        <w:t xml:space="preserve"> </w:t>
      </w:r>
      <w:r>
        <w:t xml:space="preserve">(69%), </w:t>
      </w:r>
      <w:r w:rsidRPr="000F360D">
        <w:rPr>
          <w:b/>
          <w:bCs/>
          <w:color w:val="002060"/>
        </w:rPr>
        <w:t>Pocahontas County</w:t>
      </w:r>
      <w:r w:rsidRPr="000F360D">
        <w:rPr>
          <w:color w:val="002060"/>
        </w:rPr>
        <w:t xml:space="preserve"> </w:t>
      </w:r>
      <w:r>
        <w:t xml:space="preserve">(62%), </w:t>
      </w:r>
      <w:r w:rsidRPr="000F360D">
        <w:rPr>
          <w:b/>
          <w:bCs/>
          <w:color w:val="002060"/>
        </w:rPr>
        <w:t>Greenbrier County</w:t>
      </w:r>
      <w:r>
        <w:t xml:space="preserve"> (61%), </w:t>
      </w:r>
      <w:r w:rsidRPr="000F360D">
        <w:rPr>
          <w:b/>
          <w:bCs/>
          <w:color w:val="002060"/>
        </w:rPr>
        <w:lastRenderedPageBreak/>
        <w:t>Greenbrier Unincorporated</w:t>
      </w:r>
      <w:r w:rsidRPr="006B7815">
        <w:rPr>
          <w:b/>
          <w:bCs/>
          <w:color w:val="1F4E79" w:themeColor="accent1" w:themeShade="80"/>
        </w:rPr>
        <w:t xml:space="preserve"> </w:t>
      </w:r>
      <w:r>
        <w:t xml:space="preserve">(60%), </w:t>
      </w:r>
      <w:r w:rsidRPr="000F360D">
        <w:rPr>
          <w:b/>
          <w:bCs/>
          <w:color w:val="002060"/>
        </w:rPr>
        <w:t>Richwood</w:t>
      </w:r>
      <w:r w:rsidRPr="000F360D">
        <w:rPr>
          <w:color w:val="002060"/>
        </w:rPr>
        <w:t xml:space="preserve"> </w:t>
      </w:r>
      <w:r>
        <w:t xml:space="preserve">(60%), </w:t>
      </w:r>
      <w:r w:rsidRPr="000F360D">
        <w:rPr>
          <w:b/>
          <w:bCs/>
          <w:color w:val="002060"/>
        </w:rPr>
        <w:t>Ronceverte</w:t>
      </w:r>
      <w:r w:rsidRPr="006B7815">
        <w:rPr>
          <w:b/>
          <w:bCs/>
          <w:color w:val="1F4E79" w:themeColor="accent1" w:themeShade="80"/>
        </w:rPr>
        <w:t xml:space="preserve"> </w:t>
      </w:r>
      <w:r>
        <w:t xml:space="preserve">(59%), </w:t>
      </w:r>
      <w:r w:rsidRPr="000F360D">
        <w:rPr>
          <w:b/>
          <w:bCs/>
          <w:color w:val="002060"/>
        </w:rPr>
        <w:t>Rupert</w:t>
      </w:r>
      <w:r w:rsidRPr="006B7815">
        <w:rPr>
          <w:b/>
          <w:bCs/>
          <w:color w:val="1F4E79" w:themeColor="accent1" w:themeShade="80"/>
        </w:rPr>
        <w:t xml:space="preserve"> </w:t>
      </w:r>
      <w:r>
        <w:t xml:space="preserve">(58%), </w:t>
      </w:r>
      <w:r w:rsidRPr="000F360D">
        <w:rPr>
          <w:b/>
          <w:bCs/>
          <w:color w:val="002060"/>
        </w:rPr>
        <w:t xml:space="preserve">Montgomery </w:t>
      </w:r>
      <w:r>
        <w:t>(50%),</w:t>
      </w:r>
      <w:r w:rsidRPr="000F360D">
        <w:rPr>
          <w:color w:val="002060"/>
        </w:rPr>
        <w:t xml:space="preserve"> </w:t>
      </w:r>
      <w:r w:rsidRPr="000F360D">
        <w:rPr>
          <w:b/>
          <w:bCs/>
          <w:color w:val="002060"/>
        </w:rPr>
        <w:t>Pocahontas Unincorporated</w:t>
      </w:r>
      <w:r>
        <w:t xml:space="preserve"> (48%), </w:t>
      </w:r>
      <w:r w:rsidRPr="000F360D">
        <w:rPr>
          <w:b/>
          <w:bCs/>
          <w:color w:val="002060"/>
        </w:rPr>
        <w:t>White Sulphur Springs</w:t>
      </w:r>
      <w:r>
        <w:t xml:space="preserve"> (47%), and </w:t>
      </w:r>
      <w:r w:rsidRPr="000F360D">
        <w:rPr>
          <w:b/>
          <w:bCs/>
          <w:color w:val="002060"/>
        </w:rPr>
        <w:t xml:space="preserve">Webster Unincorporated </w:t>
      </w:r>
      <w:r>
        <w:t>(37%).</w:t>
      </w:r>
    </w:p>
    <w:p w14:paraId="566ED99B" w14:textId="7D0B546D" w:rsidR="001A0F6C" w:rsidRDefault="001A0F6C" w:rsidP="001A0F6C">
      <w:bookmarkStart w:id="38" w:name="_Toc114650855"/>
      <w:r w:rsidRPr="001A0F6C">
        <w:rPr>
          <w:rStyle w:val="Heading3Char"/>
        </w:rPr>
        <w:t>Estimated Population in Need of Short-Term Shelter</w:t>
      </w:r>
      <w:bookmarkEnd w:id="38"/>
      <w:r>
        <w:t>: Counties requiring the largest amount of short-term shelter for a 1%-annual-chance flood event are</w:t>
      </w:r>
      <w:r w:rsidRPr="000F360D">
        <w:rPr>
          <w:color w:val="002060"/>
        </w:rPr>
        <w:t xml:space="preserve"> </w:t>
      </w:r>
      <w:r w:rsidRPr="000F360D">
        <w:rPr>
          <w:b/>
          <w:bCs/>
          <w:color w:val="002060"/>
        </w:rPr>
        <w:t>Greenbrier County</w:t>
      </w:r>
      <w:r>
        <w:t xml:space="preserve"> (n=630) and </w:t>
      </w:r>
      <w:r w:rsidRPr="000F360D">
        <w:rPr>
          <w:b/>
          <w:bCs/>
          <w:color w:val="002060"/>
        </w:rPr>
        <w:t>Pocahontas County</w:t>
      </w:r>
      <w:r w:rsidRPr="000F360D">
        <w:rPr>
          <w:color w:val="002060"/>
        </w:rPr>
        <w:t xml:space="preserve"> </w:t>
      </w:r>
      <w:r>
        <w:t xml:space="preserve">(n-273).  Significant communities with the highest need for short term shelters are </w:t>
      </w:r>
      <w:r w:rsidRPr="000F360D">
        <w:rPr>
          <w:b/>
          <w:bCs/>
          <w:color w:val="002060"/>
        </w:rPr>
        <w:t>Marlinton</w:t>
      </w:r>
      <w:r w:rsidRPr="000F360D">
        <w:rPr>
          <w:color w:val="002060"/>
        </w:rPr>
        <w:t xml:space="preserve"> </w:t>
      </w:r>
      <w:r>
        <w:t>(21%),</w:t>
      </w:r>
      <w:r w:rsidRPr="001359D8">
        <w:rPr>
          <w:color w:val="002060"/>
        </w:rPr>
        <w:t xml:space="preserve"> </w:t>
      </w:r>
      <w:r w:rsidRPr="001359D8">
        <w:rPr>
          <w:b/>
          <w:bCs/>
          <w:color w:val="002060"/>
        </w:rPr>
        <w:t>Rainelle</w:t>
      </w:r>
      <w:r w:rsidRPr="000450E8">
        <w:rPr>
          <w:b/>
          <w:bCs/>
          <w:color w:val="1F4E79" w:themeColor="accent1" w:themeShade="80"/>
        </w:rPr>
        <w:t xml:space="preserve"> </w:t>
      </w:r>
      <w:r>
        <w:t xml:space="preserve">(21%), </w:t>
      </w:r>
      <w:r w:rsidRPr="000F360D">
        <w:rPr>
          <w:b/>
          <w:bCs/>
          <w:color w:val="002060"/>
        </w:rPr>
        <w:t xml:space="preserve">Camden-on-Gauley </w:t>
      </w:r>
      <w:r>
        <w:t xml:space="preserve">(18%), </w:t>
      </w:r>
      <w:r w:rsidRPr="000F360D">
        <w:rPr>
          <w:b/>
          <w:bCs/>
          <w:color w:val="002060"/>
        </w:rPr>
        <w:t>Richwood</w:t>
      </w:r>
      <w:r>
        <w:t xml:space="preserve"> (14%), </w:t>
      </w:r>
      <w:r w:rsidRPr="000F360D">
        <w:rPr>
          <w:b/>
          <w:bCs/>
          <w:color w:val="002060"/>
        </w:rPr>
        <w:t>Pocahontas County</w:t>
      </w:r>
      <w:r>
        <w:t xml:space="preserve"> (14%), </w:t>
      </w:r>
      <w:r w:rsidRPr="000F360D">
        <w:rPr>
          <w:b/>
          <w:bCs/>
          <w:color w:val="002060"/>
        </w:rPr>
        <w:t xml:space="preserve">Montgomery </w:t>
      </w:r>
      <w:r>
        <w:t xml:space="preserve">(14%), </w:t>
      </w:r>
      <w:r w:rsidRPr="000F360D">
        <w:rPr>
          <w:b/>
          <w:bCs/>
          <w:color w:val="002060"/>
        </w:rPr>
        <w:t>Greenbrier County</w:t>
      </w:r>
      <w:r>
        <w:t xml:space="preserve"> (13%), </w:t>
      </w:r>
      <w:r w:rsidRPr="000F360D">
        <w:rPr>
          <w:b/>
          <w:bCs/>
          <w:color w:val="002060"/>
        </w:rPr>
        <w:t>Greenbrier Unincorporated</w:t>
      </w:r>
      <w:r w:rsidRPr="000F360D">
        <w:rPr>
          <w:color w:val="002060"/>
        </w:rPr>
        <w:t xml:space="preserve"> </w:t>
      </w:r>
      <w:r>
        <w:t xml:space="preserve">(12%), </w:t>
      </w:r>
      <w:r w:rsidRPr="000F360D">
        <w:rPr>
          <w:b/>
          <w:bCs/>
          <w:color w:val="002060"/>
        </w:rPr>
        <w:t>Alderson</w:t>
      </w:r>
      <w:r>
        <w:t xml:space="preserve"> (11%).</w:t>
      </w:r>
    </w:p>
    <w:p w14:paraId="6BA850E1" w14:textId="00ED1FDA" w:rsidR="001A0F6C" w:rsidRDefault="00B2775A" w:rsidP="00BC2228">
      <w:r w:rsidRPr="00B2775A">
        <w:rPr>
          <w:i/>
          <w:iCs/>
        </w:rPr>
        <w:t>Communities should incorporate estimated population displacements and sheltering needs into local hazard mitigation plans</w:t>
      </w:r>
      <w:r>
        <w:t>.</w:t>
      </w:r>
    </w:p>
    <w:p w14:paraId="09C9F2C5" w14:textId="36B2D634" w:rsidR="000F738B" w:rsidRPr="006B7815" w:rsidRDefault="000F738B" w:rsidP="006B7815">
      <w:pPr>
        <w:pStyle w:val="Heading2"/>
      </w:pPr>
      <w:bookmarkStart w:id="39" w:name="_Toc114650856"/>
      <w:r w:rsidRPr="006B7815">
        <w:t>Transportation Inundation Models</w:t>
      </w:r>
      <w:bookmarkEnd w:id="39"/>
    </w:p>
    <w:p w14:paraId="1184A0A6" w14:textId="7A25A97B" w:rsidR="000F738B" w:rsidRDefault="006B7815" w:rsidP="00BC2228">
      <w:r>
        <w:t>Transportation inundation models for roads, railroads, and bridges are computed for</w:t>
      </w:r>
      <w:r w:rsidR="00C95CAF">
        <w:t xml:space="preserve"> a 1%-annual-chance flood event.  Road and railroad inundation models exists for </w:t>
      </w:r>
      <w:r w:rsidR="00C95CAF" w:rsidRPr="00C95CAF">
        <w:rPr>
          <w:b/>
          <w:bCs/>
          <w:color w:val="002060"/>
        </w:rPr>
        <w:t>Greenbrier</w:t>
      </w:r>
      <w:r w:rsidR="00C95CAF">
        <w:t xml:space="preserve"> and</w:t>
      </w:r>
      <w:r w:rsidR="00C95CAF" w:rsidRPr="00C95CAF">
        <w:rPr>
          <w:b/>
          <w:bCs/>
          <w:color w:val="002060"/>
        </w:rPr>
        <w:t xml:space="preserve"> Fayette counties</w:t>
      </w:r>
      <w:r w:rsidR="00C95CAF">
        <w:t xml:space="preserve"> where countywide model-backed flood depth information exists.  Bridge inundation</w:t>
      </w:r>
      <w:r w:rsidR="00130B35">
        <w:t>s can be determined where the bridge deck elevation is known</w:t>
      </w:r>
      <w:r w:rsidR="00B67786">
        <w:t xml:space="preserve"> and compared to the base flood depth.</w:t>
      </w:r>
      <w:r w:rsidR="00130B35">
        <w:t xml:space="preserve">  </w:t>
      </w:r>
    </w:p>
    <w:p w14:paraId="7BB107A1" w14:textId="569F37D5" w:rsidR="00130B35" w:rsidRPr="00130B35" w:rsidRDefault="00130B35" w:rsidP="00130B35">
      <w:pPr>
        <w:rPr>
          <w:i/>
          <w:iCs/>
        </w:rPr>
      </w:pPr>
      <w:bookmarkStart w:id="40" w:name="_Toc114650857"/>
      <w:r w:rsidRPr="00130B35">
        <w:rPr>
          <w:rStyle w:val="Heading3Char"/>
        </w:rPr>
        <w:t>Road Miles Inundated</w:t>
      </w:r>
      <w:bookmarkEnd w:id="40"/>
      <w:r>
        <w:t xml:space="preserve">:  Communities with high percentages of roads inundated at 1 foot or greater flood depth are </w:t>
      </w:r>
      <w:r w:rsidRPr="00B67786">
        <w:rPr>
          <w:b/>
          <w:bCs/>
          <w:color w:val="002060"/>
        </w:rPr>
        <w:t>Alderson</w:t>
      </w:r>
      <w:r>
        <w:t xml:space="preserve"> (42% inundated), </w:t>
      </w:r>
      <w:r w:rsidRPr="00B67786">
        <w:rPr>
          <w:b/>
          <w:bCs/>
          <w:color w:val="002060"/>
        </w:rPr>
        <w:t>Rainelle</w:t>
      </w:r>
      <w:r>
        <w:t xml:space="preserve"> (36%), </w:t>
      </w:r>
      <w:r w:rsidRPr="00B67786">
        <w:rPr>
          <w:b/>
          <w:bCs/>
          <w:color w:val="002060"/>
        </w:rPr>
        <w:t>Camden-On-Gauley</w:t>
      </w:r>
      <w:r>
        <w:t xml:space="preserve"> (35%), </w:t>
      </w:r>
      <w:r w:rsidRPr="00B67786">
        <w:rPr>
          <w:b/>
          <w:bCs/>
          <w:color w:val="002060"/>
        </w:rPr>
        <w:t>White Sulphur Springs</w:t>
      </w:r>
      <w:r>
        <w:t xml:space="preserve"> (23%), </w:t>
      </w:r>
      <w:r w:rsidRPr="00B67786">
        <w:rPr>
          <w:b/>
          <w:bCs/>
          <w:color w:val="002060"/>
        </w:rPr>
        <w:t xml:space="preserve">Richwood </w:t>
      </w:r>
      <w:r>
        <w:t xml:space="preserve">(22%), </w:t>
      </w:r>
      <w:r w:rsidRPr="00B67786">
        <w:rPr>
          <w:b/>
          <w:bCs/>
          <w:color w:val="002060"/>
        </w:rPr>
        <w:t xml:space="preserve">Pax </w:t>
      </w:r>
      <w:r>
        <w:t xml:space="preserve">(21%), </w:t>
      </w:r>
      <w:r w:rsidRPr="00B67786">
        <w:rPr>
          <w:b/>
          <w:bCs/>
          <w:color w:val="002060"/>
        </w:rPr>
        <w:t>Marlinton</w:t>
      </w:r>
      <w:r>
        <w:t xml:space="preserve"> (16%), </w:t>
      </w:r>
      <w:r w:rsidRPr="00B67786">
        <w:rPr>
          <w:b/>
          <w:bCs/>
          <w:color w:val="002060"/>
        </w:rPr>
        <w:t>Meadow Bridge</w:t>
      </w:r>
      <w:r>
        <w:t xml:space="preserve"> (12%), </w:t>
      </w:r>
      <w:r w:rsidRPr="00B67786">
        <w:rPr>
          <w:b/>
          <w:bCs/>
          <w:color w:val="002060"/>
        </w:rPr>
        <w:t>Rupert</w:t>
      </w:r>
      <w:r>
        <w:t xml:space="preserve"> (11%), and </w:t>
      </w:r>
      <w:r w:rsidRPr="00B67786">
        <w:rPr>
          <w:b/>
          <w:bCs/>
          <w:color w:val="002060"/>
        </w:rPr>
        <w:t>Montgomery</w:t>
      </w:r>
      <w:r>
        <w:t xml:space="preserve"> (10%).  Most of the inundated roads are above 3-foot flood depth for the towns of </w:t>
      </w:r>
      <w:r w:rsidRPr="00B67786">
        <w:rPr>
          <w:b/>
          <w:bCs/>
          <w:color w:val="002060"/>
        </w:rPr>
        <w:t>Montgomery</w:t>
      </w:r>
      <w:r>
        <w:t xml:space="preserve">, </w:t>
      </w:r>
      <w:r w:rsidRPr="00B67786">
        <w:rPr>
          <w:b/>
          <w:bCs/>
          <w:color w:val="002060"/>
        </w:rPr>
        <w:t>Alderson</w:t>
      </w:r>
      <w:r>
        <w:t xml:space="preserve">, </w:t>
      </w:r>
      <w:r w:rsidRPr="00B67786">
        <w:rPr>
          <w:b/>
          <w:bCs/>
          <w:color w:val="002060"/>
        </w:rPr>
        <w:t>Camden-On-Gauley</w:t>
      </w:r>
      <w:r>
        <w:t xml:space="preserve">, and </w:t>
      </w:r>
      <w:r w:rsidRPr="00B67786">
        <w:rPr>
          <w:b/>
          <w:bCs/>
          <w:color w:val="002060"/>
        </w:rPr>
        <w:t>Ronceverte</w:t>
      </w:r>
      <w:r>
        <w:t xml:space="preserve">.  </w:t>
      </w:r>
      <w:r w:rsidR="00B67786" w:rsidRPr="00B67786">
        <w:rPr>
          <w:rFonts w:ascii="Calibri" w:eastAsia="Times New Roman" w:hAnsi="Calibri" w:cs="Calibri"/>
          <w:i/>
          <w:iCs/>
          <w:color w:val="000000"/>
        </w:rPr>
        <w:t xml:space="preserve">A foot of water will float many vehicles and make roads impassable.  </w:t>
      </w:r>
      <w:r w:rsidRPr="00B67786">
        <w:rPr>
          <w:i/>
          <w:iCs/>
        </w:rPr>
        <w:t xml:space="preserve">About three feet is near the limit to use high profile vehicles to perform high water rescues and instead boats and helicopters are required to perform rescues.  </w:t>
      </w:r>
      <w:r w:rsidRPr="00130B35">
        <w:rPr>
          <w:i/>
          <w:iCs/>
        </w:rPr>
        <w:t xml:space="preserve">    </w:t>
      </w:r>
    </w:p>
    <w:p w14:paraId="47601210" w14:textId="660311D7" w:rsidR="00130B35" w:rsidRDefault="00130B35" w:rsidP="00130B35">
      <w:bookmarkStart w:id="41" w:name="_Toc114650858"/>
      <w:r w:rsidRPr="00130B35">
        <w:rPr>
          <w:rStyle w:val="Heading3Char"/>
        </w:rPr>
        <w:t>Railroad Miles Inundated</w:t>
      </w:r>
      <w:bookmarkEnd w:id="41"/>
      <w:r>
        <w:t xml:space="preserve">:  Railroad miles inundated at 1 foot or greater flood depth are 19.2 inundated miles for </w:t>
      </w:r>
      <w:r w:rsidRPr="00B67786">
        <w:rPr>
          <w:b/>
          <w:bCs/>
          <w:color w:val="002060"/>
        </w:rPr>
        <w:t>Fayette County</w:t>
      </w:r>
      <w:r>
        <w:t xml:space="preserve"> and 18.3 miles for </w:t>
      </w:r>
      <w:r w:rsidRPr="00B67786">
        <w:rPr>
          <w:b/>
          <w:bCs/>
          <w:color w:val="002060"/>
        </w:rPr>
        <w:t>Greenbrier County</w:t>
      </w:r>
      <w:r>
        <w:t xml:space="preserve">.  In </w:t>
      </w:r>
      <w:r w:rsidRPr="00B67786">
        <w:rPr>
          <w:b/>
          <w:bCs/>
          <w:color w:val="002060"/>
        </w:rPr>
        <w:t>Fayette</w:t>
      </w:r>
      <w:r>
        <w:t xml:space="preserve"> and </w:t>
      </w:r>
      <w:r w:rsidRPr="00B67786">
        <w:rPr>
          <w:b/>
          <w:bCs/>
          <w:color w:val="002060"/>
        </w:rPr>
        <w:t>Greenbrier counties</w:t>
      </w:r>
      <w:r>
        <w:t>, 66% and 46%, respectively, of the inundated railroad miles are above 3-foot flood depth.</w:t>
      </w:r>
    </w:p>
    <w:p w14:paraId="1B4000A2" w14:textId="0DDE7D29" w:rsidR="00130B35" w:rsidRPr="00B67786" w:rsidRDefault="00B46DE2" w:rsidP="00BC2228">
      <w:pPr>
        <w:rPr>
          <w:i/>
          <w:iCs/>
        </w:rPr>
      </w:pPr>
      <w:r>
        <w:rPr>
          <w:i/>
          <w:iCs/>
        </w:rPr>
        <w:t xml:space="preserve">Use the Risk MAP View of the WV Flood Tool to view roads and railroads inundated by a 1%-annual-chance flood event.  </w:t>
      </w:r>
      <w:r w:rsidR="00130B35" w:rsidRPr="00B67786">
        <w:rPr>
          <w:i/>
          <w:iCs/>
        </w:rPr>
        <w:t xml:space="preserve">Communities should </w:t>
      </w:r>
      <w:r w:rsidR="00B67786" w:rsidRPr="00B67786">
        <w:rPr>
          <w:i/>
          <w:iCs/>
        </w:rPr>
        <w:t xml:space="preserve">compare historical flooding events to </w:t>
      </w:r>
      <w:r w:rsidR="00B67786">
        <w:rPr>
          <w:i/>
          <w:iCs/>
        </w:rPr>
        <w:t xml:space="preserve">the </w:t>
      </w:r>
      <w:r w:rsidR="00B67786" w:rsidRPr="00B67786">
        <w:rPr>
          <w:i/>
          <w:iCs/>
        </w:rPr>
        <w:t>flood estimation models for active railroads and major highways (interstates, federal, state).  To determine if bridges will be inundated by a 1%-annual-chance flood, the bridge deck elevation should be higher than the base flood depth.</w:t>
      </w:r>
    </w:p>
    <w:p w14:paraId="01DBA80B" w14:textId="77777777" w:rsidR="00EC27CB" w:rsidRDefault="00EC27CB" w:rsidP="006B7815">
      <w:pPr>
        <w:pStyle w:val="Heading2"/>
      </w:pPr>
    </w:p>
    <w:p w14:paraId="49FF0D5C" w14:textId="500A210B" w:rsidR="00716087" w:rsidRDefault="00716087" w:rsidP="006B7815">
      <w:pPr>
        <w:pStyle w:val="Heading2"/>
      </w:pPr>
      <w:bookmarkStart w:id="42" w:name="_Toc114650859"/>
      <w:r w:rsidRPr="006B7815">
        <w:t>Minus-Rated Structures of Post-FIRM Construction</w:t>
      </w:r>
      <w:bookmarkEnd w:id="42"/>
    </w:p>
    <w:p w14:paraId="523B6BBE" w14:textId="0F1D94BD" w:rsidR="003C74DE" w:rsidRDefault="003C74DE" w:rsidP="00645DB8">
      <w:r>
        <w:t>For insurance rating purposes, a post-FIRM building is one that was constructed or substantially improved after December 31, 1974, or after the effective date of the initial Flood Insurance Rate Map (FIRM) of a community, whichever is later. A post-FIRM building is required to meet the National Flood Insurance Program’s minimum Regular Program flood protection standards. For building level risk assessments, the Post-FIRM building is computed from the Building Year of the assessment records. If there is no Building Year listed in the property records, then the FIRM category status is unknown. The Pre-FIRM or Post-FIRM category is displayed in the Flood Risk Assessment Tab of the WV Flood Tool.</w:t>
      </w:r>
    </w:p>
    <w:p w14:paraId="628E27E8" w14:textId="77777777" w:rsidR="003C74DE" w:rsidRDefault="003C74DE" w:rsidP="00645DB8">
      <w:r w:rsidRPr="00BC0918">
        <w:lastRenderedPageBreak/>
        <w:t>Minus-rated properties are those that have the lowest floor one foot or more below the base flood elevation. Some minus-rated policies may not be eligible for CRS premium discounts. Mitigation actions for minus rated structures include retrofitting with proper flood openings, eliminating below-grade crawl spaces, elevating HVAC systems, and other measures. Post-FIRM structures shouldn’t be minus rated if built to code at the time. The Water Depth-in-Structure estimates displayed on the Risk MAP View of the WV Flood Tool are calculated from the best available elevations for the base flood and lowest floor. An Elevation Certificate provides a way for a community to document compliance with the community's floodplain management ordinance by determining if the lowest floor of a structure is above the base flood elevation.</w:t>
      </w:r>
    </w:p>
    <w:p w14:paraId="229A6AAA" w14:textId="3ECA76A3" w:rsidR="00EC27CB" w:rsidRDefault="00716087" w:rsidP="00712AC3">
      <w:r>
        <w:t xml:space="preserve">In </w:t>
      </w:r>
      <w:r w:rsidRPr="00071CB2">
        <w:rPr>
          <w:b/>
          <w:bCs/>
          <w:color w:val="1F4E79" w:themeColor="accent1" w:themeShade="80"/>
        </w:rPr>
        <w:t>Region 4</w:t>
      </w:r>
      <w:r>
        <w:t xml:space="preserve">, 142 building are Minus -3 or greater rating (2% of the buildings inventoried in the 1%-annual-chance floodplain). </w:t>
      </w:r>
      <w:r w:rsidRPr="008935E2">
        <w:t>Determine if Post-FIRM minus-rated structures are mitigated.</w:t>
      </w:r>
      <w:r>
        <w:t xml:space="preserve">  </w:t>
      </w:r>
      <w:r w:rsidRPr="008935E2">
        <w:t>Focus initially on structures with the highest minus ratings (or highest water-in-depth values) and high dollar loss estimates.</w:t>
      </w:r>
    </w:p>
    <w:p w14:paraId="1D13342D" w14:textId="77777777" w:rsidR="00712AC3" w:rsidRPr="00712AC3" w:rsidRDefault="00712AC3" w:rsidP="00712AC3">
      <w:pPr>
        <w:rPr>
          <w:i/>
          <w:iCs/>
        </w:rPr>
      </w:pPr>
      <w:r>
        <w:t xml:space="preserve">The communities with the largest number of buildings that exceed Minus 10 ratings or in which the lowest floor is 10 feet or more below the BFE are Fayette Unincorporated (19 buildings) and Marlinton (10 buildings).  The building level risk assessment for these specific structures should be checked to ensure there are no mapping irregularities with the flood depth and that the first-floor height is correctly computed for the estimated flood inundation depth in the structure (Depth-in-Structure).  </w:t>
      </w:r>
      <w:r w:rsidRPr="00712AC3">
        <w:rPr>
          <w:i/>
          <w:iCs/>
        </w:rPr>
        <w:t>First floors are completely inundated at nine feet.</w:t>
      </w:r>
    </w:p>
    <w:p w14:paraId="78362294" w14:textId="24688F92" w:rsidR="00712AC3" w:rsidRDefault="00712AC3" w:rsidP="00712AC3">
      <w:r>
        <w:t>The communities with the highest number of Post-FIRM structures that exceed a Minus 2 rating (lowest floor is 2 feet or more below the BFE) are Greenbrier Unincorporated (111 buildings), Pocahontas Unincorporated (52 buildings), Fayette Unincorporated (22), and Marlinton (20).  First-floor height audits of these structures should be performed to determine if the lowest floor living space is above the base flood elevation.</w:t>
      </w:r>
    </w:p>
    <w:p w14:paraId="7FA5C569" w14:textId="6E7AD6D2" w:rsidR="00EC27CB" w:rsidRDefault="00EC27CB" w:rsidP="00EC27CB">
      <w:pPr>
        <w:spacing w:after="0"/>
      </w:pPr>
      <w:bookmarkStart w:id="43" w:name="_Toc114650860"/>
      <w:r w:rsidRPr="00EC27CB">
        <w:rPr>
          <w:rStyle w:val="Heading2Char"/>
        </w:rPr>
        <w:t>Flood Loss Model Limitations</w:t>
      </w:r>
      <w:bookmarkEnd w:id="43"/>
    </w:p>
    <w:p w14:paraId="1593573E" w14:textId="77777777" w:rsidR="00EC27CB" w:rsidRDefault="00EC27CB" w:rsidP="00EC27CB">
      <w:pPr>
        <w:spacing w:after="0"/>
      </w:pPr>
      <w:r>
        <w:t xml:space="preserve">Undervalued Building Values.  </w:t>
      </w:r>
      <w:r w:rsidRPr="000F59E5">
        <w:t xml:space="preserve">The building damage loss estimates </w:t>
      </w:r>
      <w:r>
        <w:t>will be lower if</w:t>
      </w:r>
      <w:r w:rsidRPr="000F59E5">
        <w:t xml:space="preserve"> the market value of the building stock is undervalued.</w:t>
      </w:r>
      <w:r>
        <w:t xml:space="preserve">  The tax assessment database is the replacement value for most of the building level risk assessments.  Other building value sources are used for tax exempt structures or mobile homes assessed as personal property.</w:t>
      </w:r>
      <w:r w:rsidRPr="000F59E5">
        <w:t xml:space="preserve"> </w:t>
      </w:r>
    </w:p>
    <w:p w14:paraId="50869002" w14:textId="763F329F" w:rsidR="00EC27CB" w:rsidRDefault="00A64C28" w:rsidP="00EC27CB">
      <w:r>
        <w:br/>
      </w:r>
      <w:r w:rsidR="00EC27CB">
        <w:t>Flood Damage Overestimates:  To avoid flood damage overestimates, communities should verify that the</w:t>
      </w:r>
      <w:r w:rsidR="00FF07EA">
        <w:t xml:space="preserve"> designated Foundation and</w:t>
      </w:r>
      <w:r w:rsidR="00EC27CB">
        <w:t xml:space="preserve"> First Floor Heights of highly damaged building estimates are correct.</w:t>
      </w:r>
      <w:r w:rsidR="00FF07EA">
        <w:t xml:space="preserve">  The basement information from the tax assessment database does not distinguish between a subgrade basement or a walkout basement</w:t>
      </w:r>
      <w:r>
        <w:t xml:space="preserve"> enclosure, for example.  Elevation certificates and buildings pictures are useful in determine </w:t>
      </w:r>
      <w:r w:rsidR="00BE0797">
        <w:t xml:space="preserve">the </w:t>
      </w:r>
      <w:r>
        <w:t>correct</w:t>
      </w:r>
      <w:r w:rsidR="00BE0797">
        <w:t xml:space="preserve"> </w:t>
      </w:r>
      <w:hyperlink r:id="rId27" w:history="1">
        <w:r w:rsidR="00BE0797" w:rsidRPr="00D72C70">
          <w:rPr>
            <w:rStyle w:val="Hyperlink"/>
          </w:rPr>
          <w:t>foundation type</w:t>
        </w:r>
      </w:hyperlink>
      <w:r w:rsidR="009D7A4C">
        <w:t xml:space="preserve"> </w:t>
      </w:r>
      <w:r w:rsidR="00BE0797">
        <w:t>and</w:t>
      </w:r>
      <w:r>
        <w:t xml:space="preserve"> first-floor height</w:t>
      </w:r>
      <w:r w:rsidR="00BE0797">
        <w:t xml:space="preserve"> for structur</w:t>
      </w:r>
      <w:r w:rsidR="009D7A4C">
        <w:t xml:space="preserve">es, </w:t>
      </w:r>
      <w:r>
        <w:t>result</w:t>
      </w:r>
      <w:r w:rsidR="009D7A4C">
        <w:t>ing</w:t>
      </w:r>
      <w:r>
        <w:t xml:space="preserve"> in more accurate depth-damage building loss estimates.</w:t>
      </w:r>
    </w:p>
    <w:p w14:paraId="554F7631" w14:textId="77777777" w:rsidR="00EC27CB" w:rsidRDefault="00EC27CB" w:rsidP="00EC27CB">
      <w:r>
        <w:t>Flood Damage Outside SFHA:  T</w:t>
      </w:r>
      <w:r w:rsidRPr="000F59E5">
        <w:t>he flood loss models also do not calculate damage estimates for buildings outside the effective or advisory 1%-annual-chance floodplains.</w:t>
      </w:r>
      <w:r>
        <w:t xml:space="preserve">  FEMA’s publication “Understanding Flood Dangers in Central West Virginia: Lessons Learned from the June 2016 Flood” reported that extensive property damage occurred outside the Special Flood Hazard Areas.  Besides overbank flooding on major rivers and streams, flash flooding on small streams, runoff rushing down </w:t>
      </w:r>
      <w:r>
        <w:lastRenderedPageBreak/>
        <w:t>mountainsides, and urban stormwater flooding can all contribute to significant damage outside designated Special Flood Hazard Areas.  The report concluded of the nearly 1,000 flood insurance claims in the declared counties, 77% were in the 1% annual-chance floodplain and approximately 23% of the insurance claims were outside. On average, in floods across the country, about 25% of claims are outside the Special Flood Hazard Area, so this is consistent with the national trend.</w:t>
      </w:r>
    </w:p>
    <w:p w14:paraId="64760AFE" w14:textId="0412792F" w:rsidR="00EC27CB" w:rsidRDefault="00EC27CB" w:rsidP="00EC27CB">
      <w:pPr>
        <w:rPr>
          <w:bCs/>
        </w:rPr>
      </w:pPr>
      <w:r>
        <w:t xml:space="preserve">Model-Backed Flood Depths:  </w:t>
      </w:r>
      <w:r>
        <w:rPr>
          <w:bCs/>
        </w:rPr>
        <w:t>The best-available HEC-RAS model-backed depth grids at a preferred grid resolution of 1-meter cell are employed for the building-level risk assessments.  Unfortunately, model-backed depth grids do not exist for Approximate A Zones for 18 counties in West Virginia and are missing for smaller tributary streams in other counties.  Where no model backed depth grids exist, a Hazus depth grid is substituted if depth values are available for that stream location.</w:t>
      </w:r>
    </w:p>
    <w:p w14:paraId="1F90A045" w14:textId="77777777" w:rsidR="00EC27CB" w:rsidRPr="00725CAD" w:rsidRDefault="00EC27CB" w:rsidP="00EC27CB">
      <w:pPr>
        <w:pStyle w:val="ListParagraph"/>
        <w:numPr>
          <w:ilvl w:val="0"/>
          <w:numId w:val="2"/>
        </w:numPr>
      </w:pPr>
      <w:r w:rsidRPr="00725CAD">
        <w:t xml:space="preserve">No Model-Backed Base Flood </w:t>
      </w:r>
      <w:r w:rsidRPr="000F738B">
        <w:rPr>
          <w:i/>
          <w:iCs/>
        </w:rPr>
        <w:t>Depth Grids</w:t>
      </w:r>
      <w:r w:rsidRPr="00725CAD">
        <w:t xml:space="preserve"> </w:t>
      </w:r>
      <w:r w:rsidRPr="00385ED1">
        <w:t xml:space="preserve">or </w:t>
      </w:r>
      <w:hyperlink r:id="rId28" w:history="1">
        <w:r w:rsidRPr="00385ED1">
          <w:rPr>
            <w:rStyle w:val="Hyperlink"/>
            <w:bCs/>
          </w:rPr>
          <w:t>Advisory Flood Heights</w:t>
        </w:r>
      </w:hyperlink>
      <w:r w:rsidRPr="00725CAD">
        <w:rPr>
          <w:b/>
          <w:bCs/>
        </w:rPr>
        <w:t xml:space="preserve"> </w:t>
      </w:r>
      <w:r w:rsidRPr="00725CAD">
        <w:t xml:space="preserve">exist for Approximate A Zones for </w:t>
      </w:r>
      <w:r w:rsidRPr="001359D8">
        <w:rPr>
          <w:bCs/>
        </w:rPr>
        <w:t xml:space="preserve">Nicholas, Pocahontas, and Webster </w:t>
      </w:r>
      <w:r>
        <w:t>c</w:t>
      </w:r>
      <w:r w:rsidRPr="00725CAD">
        <w:t>ounties</w:t>
      </w:r>
      <w:r>
        <w:t xml:space="preserve">.  See </w:t>
      </w:r>
      <w:hyperlink r:id="rId29" w:history="1">
        <w:r w:rsidRPr="00725CAD">
          <w:rPr>
            <w:rStyle w:val="Hyperlink"/>
          </w:rPr>
          <w:t>status graphic</w:t>
        </w:r>
      </w:hyperlink>
      <w:r>
        <w:t>.</w:t>
      </w:r>
    </w:p>
    <w:p w14:paraId="0A61436C" w14:textId="77777777" w:rsidR="00EC27CB" w:rsidRDefault="00EC27CB" w:rsidP="00EC27CB">
      <w:pPr>
        <w:pStyle w:val="ListParagraph"/>
        <w:numPr>
          <w:ilvl w:val="0"/>
          <w:numId w:val="2"/>
        </w:numPr>
      </w:pPr>
      <w:r w:rsidRPr="00725CAD">
        <w:t xml:space="preserve">A less accurate </w:t>
      </w:r>
      <w:r w:rsidRPr="00EC27CB">
        <w:rPr>
          <w:i/>
          <w:iCs/>
        </w:rPr>
        <w:t>Hazus</w:t>
      </w:r>
      <w:r w:rsidRPr="00EC27CB">
        <w:rPr>
          <w:b/>
          <w:bCs/>
        </w:rPr>
        <w:t xml:space="preserve"> </w:t>
      </w:r>
      <w:r w:rsidRPr="00725CAD">
        <w:t>depth grid is utilized for Building Damage Loss Estimates until model-backed depth grids for Approximate A Zones become available.</w:t>
      </w:r>
    </w:p>
    <w:p w14:paraId="3D8194C0" w14:textId="6BC2BB33" w:rsidR="00EC27CB" w:rsidRDefault="00EC27CB" w:rsidP="00BC2228"/>
    <w:p w14:paraId="289495AE" w14:textId="77777777" w:rsidR="00EC27CB" w:rsidRDefault="00EC27CB" w:rsidP="00BC2228"/>
    <w:p w14:paraId="5AC59D76" w14:textId="3C88EA2B" w:rsidR="00716087" w:rsidRDefault="00716087" w:rsidP="00716087">
      <w:pPr>
        <w:pStyle w:val="Heading1"/>
      </w:pPr>
      <w:bookmarkStart w:id="44" w:name="_Toc114650861"/>
      <w:r>
        <w:t>MITIGATION</w:t>
      </w:r>
      <w:bookmarkEnd w:id="44"/>
    </w:p>
    <w:p w14:paraId="27BBC444" w14:textId="075E9EDB" w:rsidR="00716087" w:rsidRDefault="00716087" w:rsidP="00BC2228"/>
    <w:p w14:paraId="42C40440" w14:textId="0E786B4F" w:rsidR="00BE0797" w:rsidRPr="00BF77FC" w:rsidRDefault="00BE0797" w:rsidP="00BE0797">
      <w:pPr>
        <w:rPr>
          <w:i/>
          <w:iCs/>
        </w:rPr>
      </w:pPr>
      <w:r w:rsidRPr="00BF77FC">
        <w:rPr>
          <w:i/>
          <w:iCs/>
        </w:rPr>
        <w:t xml:space="preserve">What </w:t>
      </w:r>
      <w:r>
        <w:rPr>
          <w:i/>
          <w:iCs/>
        </w:rPr>
        <w:t>has been mitigated</w:t>
      </w:r>
      <w:r w:rsidRPr="00BF77FC">
        <w:rPr>
          <w:i/>
          <w:iCs/>
        </w:rPr>
        <w:t>?</w:t>
      </w:r>
    </w:p>
    <w:p w14:paraId="2BA79D7B" w14:textId="77777777" w:rsidR="00A64C28" w:rsidRDefault="00AE7456" w:rsidP="00A64C28">
      <w:pPr>
        <w:spacing w:after="0"/>
        <w:rPr>
          <w:rStyle w:val="Heading2Char"/>
        </w:rPr>
      </w:pPr>
      <w:bookmarkStart w:id="45" w:name="_Toc114650862"/>
      <w:r w:rsidRPr="00AE7456">
        <w:rPr>
          <w:rStyle w:val="Heading2Char"/>
        </w:rPr>
        <w:t>Mitigated Structures</w:t>
      </w:r>
      <w:bookmarkEnd w:id="45"/>
    </w:p>
    <w:p w14:paraId="47D8D2F4" w14:textId="37F69DA9" w:rsidR="00D72C70" w:rsidRDefault="00D72C70" w:rsidP="00D72C70">
      <w:pPr>
        <w:spacing w:after="0"/>
      </w:pPr>
      <w:r>
        <w:t xml:space="preserve">A comprehensive inventory of mitigated structures results in more accurate building level risk assessments and shows how communities have applied flood adaptive measures in response to major flood events.  Sources for verifying </w:t>
      </w:r>
      <w:r w:rsidR="004A48BA">
        <w:t xml:space="preserve">first floor heights of elevated </w:t>
      </w:r>
      <w:r>
        <w:t xml:space="preserve">structures are </w:t>
      </w:r>
      <w:r w:rsidR="004A48BA">
        <w:t>elevation certificates, building pictures (step 7” rise, cinder block 8”)</w:t>
      </w:r>
      <w:r w:rsidR="00EB161E">
        <w:t>, and major post-disaster mitigation reconstruction projects (1977 and 2016 floods) described below.</w:t>
      </w:r>
      <w:r w:rsidR="004A48BA">
        <w:t xml:space="preserve"> </w:t>
      </w:r>
    </w:p>
    <w:p w14:paraId="52CD4012" w14:textId="77777777" w:rsidR="00D72C70" w:rsidRDefault="00D72C70" w:rsidP="00E3475B">
      <w:pPr>
        <w:spacing w:after="0"/>
      </w:pPr>
    </w:p>
    <w:p w14:paraId="0A4C2B10" w14:textId="76486811" w:rsidR="00E3475B" w:rsidRDefault="00E3475B" w:rsidP="00E3475B">
      <w:pPr>
        <w:spacing w:after="0"/>
      </w:pPr>
      <w:r>
        <w:t xml:space="preserve">June 2016 Flood of Central West Virginia:  </w:t>
      </w:r>
      <w:r w:rsidR="00A64C28">
        <w:t>The devastating floods from the June 2016 flood</w:t>
      </w:r>
      <w:r w:rsidR="00F24EF5">
        <w:t xml:space="preserve"> </w:t>
      </w:r>
      <w:r w:rsidR="00A64C28">
        <w:t xml:space="preserve">have resulted in the largest regional mitigation project since the historic </w:t>
      </w:r>
      <w:r w:rsidR="001E61C4">
        <w:t>April 1</w:t>
      </w:r>
      <w:r w:rsidR="00A64C28">
        <w:t>977 flood in the Tug Fork River Basin.</w:t>
      </w:r>
      <w:r>
        <w:t xml:space="preserve">  From the June 2016 flood thousands of buildings were destroyed or damaged, at least 23 people were killed, and communities throughout West Virginia were inundated with floodwaters. A State of</w:t>
      </w:r>
    </w:p>
    <w:p w14:paraId="1624E189" w14:textId="5F824B29" w:rsidR="003C57A2" w:rsidRDefault="00E3475B" w:rsidP="00E3475B">
      <w:pPr>
        <w:spacing w:after="0"/>
      </w:pPr>
      <w:r>
        <w:t>Emergency was declared in 44 of West Virginia’s 55 counties, and 12 of these counties received a Presidential Disaster Declaration. The National Oceanic and Atmospheric Administration (NOAA) estimated that overall damages from the storm system amounted to over $1 billion (</w:t>
      </w:r>
      <w:hyperlink r:id="rId30" w:history="1">
        <w:r w:rsidRPr="00E3475B">
          <w:rPr>
            <w:rStyle w:val="Hyperlink"/>
          </w:rPr>
          <w:t>FEMA 2016 Flood Report</w:t>
        </w:r>
      </w:hyperlink>
      <w:r>
        <w:t xml:space="preserve">).  </w:t>
      </w:r>
      <w:r w:rsidR="003C57A2">
        <w:t>A</w:t>
      </w:r>
      <w:r>
        <w:t xml:space="preserve"> </w:t>
      </w:r>
      <w:hyperlink r:id="rId31" w:history="1">
        <w:r w:rsidRPr="00E3475B">
          <w:rPr>
            <w:rStyle w:val="Hyperlink"/>
          </w:rPr>
          <w:t>news</w:t>
        </w:r>
        <w:r w:rsidR="003C57A2" w:rsidRPr="00E3475B">
          <w:rPr>
            <w:rStyle w:val="Hyperlink"/>
          </w:rPr>
          <w:t xml:space="preserve"> article</w:t>
        </w:r>
      </w:hyperlink>
      <w:r w:rsidR="003C57A2">
        <w:t xml:space="preserve"> dated </w:t>
      </w:r>
      <w:r w:rsidR="003C57A2" w:rsidRPr="003C57A2">
        <w:t>December 7, 2021,</w:t>
      </w:r>
      <w:r w:rsidR="003C57A2">
        <w:t xml:space="preserve"> in </w:t>
      </w:r>
      <w:r w:rsidR="003C57A2" w:rsidRPr="003C57A2">
        <w:rPr>
          <w:i/>
          <w:iCs/>
        </w:rPr>
        <w:t xml:space="preserve">The Intelligencer / Wheeling News-Register </w:t>
      </w:r>
      <w:r w:rsidR="003C57A2" w:rsidRPr="003C57A2">
        <w:t>newspaper</w:t>
      </w:r>
      <w:r>
        <w:t>,</w:t>
      </w:r>
      <w:r w:rsidR="003C57A2" w:rsidRPr="003C57A2">
        <w:t xml:space="preserve"> reported that as of November 2021, </w:t>
      </w:r>
      <w:r w:rsidR="003C57A2">
        <w:t xml:space="preserve">the </w:t>
      </w:r>
      <w:r w:rsidR="001E61C4">
        <w:t xml:space="preserve">WV </w:t>
      </w:r>
      <w:r w:rsidR="003C57A2" w:rsidRPr="003C57A2">
        <w:t xml:space="preserve">RISE </w:t>
      </w:r>
      <w:r w:rsidR="003C57A2">
        <w:t>program had</w:t>
      </w:r>
      <w:r w:rsidR="003C57A2" w:rsidRPr="003C57A2">
        <w:t xml:space="preserve"> completed 350 housing projects and 42 bridges. According to RISE, 90% of its housing projects </w:t>
      </w:r>
      <w:r w:rsidR="003C57A2">
        <w:t xml:space="preserve">were </w:t>
      </w:r>
      <w:r w:rsidR="003C57A2" w:rsidRPr="003C57A2">
        <w:t>complete, with 78% of bridge projects completed. Combined with the 47 demolition projects, $82.4 million has been spent for mitigation measure associated with the June 2016 flood.</w:t>
      </w:r>
    </w:p>
    <w:p w14:paraId="62F643CC" w14:textId="77777777" w:rsidR="003C57A2" w:rsidRDefault="003C57A2" w:rsidP="00A64C28">
      <w:pPr>
        <w:spacing w:after="0"/>
      </w:pPr>
    </w:p>
    <w:p w14:paraId="618D17B9" w14:textId="749B1674" w:rsidR="001E61C4" w:rsidRDefault="00D72C70" w:rsidP="00A64C28">
      <w:pPr>
        <w:spacing w:after="0"/>
      </w:pPr>
      <w:r>
        <w:lastRenderedPageBreak/>
        <w:t xml:space="preserve">April 1977 Flood of Tug Fork Basin: </w:t>
      </w:r>
      <w:r w:rsidR="00E3475B" w:rsidRPr="00E3475B">
        <w:t>The Tug Fork Basin was devast</w:t>
      </w:r>
      <w:r w:rsidR="00FD1165">
        <w:t>at</w:t>
      </w:r>
      <w:r w:rsidR="00E3475B" w:rsidRPr="00E3475B">
        <w:t>ed in April 1977 by the flood record of the basin, causing</w:t>
      </w:r>
      <w:r w:rsidR="003418CE">
        <w:t xml:space="preserve"> </w:t>
      </w:r>
      <w:r w:rsidR="00E3475B">
        <w:t>an estimated</w:t>
      </w:r>
      <w:r w:rsidR="00E3475B" w:rsidRPr="00E3475B">
        <w:t xml:space="preserve"> $698.7 million (October 1996 Price Level) in damages.</w:t>
      </w:r>
      <w:r w:rsidR="003418CE">
        <w:t xml:space="preserve">  </w:t>
      </w:r>
      <w:r w:rsidR="003C57A2">
        <w:t>Compar</w:t>
      </w:r>
      <w:r w:rsidR="001E61C4">
        <w:t xml:space="preserve">ing the WV RISE mitigation program </w:t>
      </w:r>
      <w:r w:rsidR="003C57A2">
        <w:t xml:space="preserve">to the 1977 </w:t>
      </w:r>
      <w:r w:rsidR="001E61C4">
        <w:t xml:space="preserve">flood reconstruction </w:t>
      </w:r>
      <w:r w:rsidR="003C57A2">
        <w:t xml:space="preserve">program, the USACE Section 202 Non-Structural Project </w:t>
      </w:r>
      <w:r w:rsidR="001E61C4">
        <w:t>resulted in</w:t>
      </w:r>
      <w:r w:rsidR="003418CE">
        <w:t xml:space="preserve"> an</w:t>
      </w:r>
      <w:r w:rsidR="003C57A2">
        <w:t xml:space="preserve"> estimated </w:t>
      </w:r>
      <w:r w:rsidR="001E61C4">
        <w:t>397 housing projects 257 buyout property acquisitions</w:t>
      </w:r>
      <w:r w:rsidR="00E3475B">
        <w:t xml:space="preserve"> completed</w:t>
      </w:r>
      <w:r w:rsidR="001E61C4">
        <w:t xml:space="preserve"> for Mingo and Wayne counties.</w:t>
      </w:r>
      <w:r w:rsidR="00E3475B">
        <w:t xml:space="preserve">  A significant number of property acquisitions occurred in McDowell County as well.</w:t>
      </w:r>
      <w:r w:rsidR="003418CE">
        <w:t xml:space="preserve">  The mitigation projects including the close-out reports and operation manuals were and were completed by 2008. </w:t>
      </w:r>
    </w:p>
    <w:p w14:paraId="35993195" w14:textId="3BB81609" w:rsidR="00A64C28" w:rsidRDefault="001E61C4" w:rsidP="00E3475B">
      <w:pPr>
        <w:spacing w:after="0"/>
      </w:pPr>
      <w:r>
        <w:t xml:space="preserve"> </w:t>
      </w:r>
      <w:r w:rsidR="003C57A2">
        <w:t xml:space="preserve"> </w:t>
      </w:r>
    </w:p>
    <w:p w14:paraId="12766E41" w14:textId="77777777" w:rsidR="003418CE" w:rsidRDefault="003418CE" w:rsidP="00E3475B">
      <w:pPr>
        <w:spacing w:after="0"/>
        <w:rPr>
          <w:rStyle w:val="Heading2Char"/>
        </w:rPr>
      </w:pPr>
    </w:p>
    <w:p w14:paraId="37F7E239" w14:textId="77777777" w:rsidR="00D72C70" w:rsidRDefault="00D72C70" w:rsidP="00645DB8">
      <w:pPr>
        <w:spacing w:after="0"/>
        <w:rPr>
          <w:rStyle w:val="Heading2Char"/>
        </w:rPr>
      </w:pPr>
    </w:p>
    <w:p w14:paraId="05396B18" w14:textId="6D38D2B2" w:rsidR="00AE7456" w:rsidRDefault="00716087" w:rsidP="00645DB8">
      <w:pPr>
        <w:spacing w:after="0"/>
        <w:rPr>
          <w:rStyle w:val="Heading2Char"/>
        </w:rPr>
      </w:pPr>
      <w:bookmarkStart w:id="46" w:name="_Toc114650863"/>
      <w:r w:rsidRPr="00AE7456">
        <w:rPr>
          <w:rStyle w:val="Heading2Char"/>
        </w:rPr>
        <w:t>Buyout Properties</w:t>
      </w:r>
      <w:bookmarkEnd w:id="46"/>
    </w:p>
    <w:p w14:paraId="56819595" w14:textId="4B576472" w:rsidR="000C24C1" w:rsidRPr="000C24C1" w:rsidRDefault="000C24C1" w:rsidP="00645DB8">
      <w:pPr>
        <w:spacing w:after="0"/>
      </w:pPr>
      <w:r w:rsidRPr="000C24C1">
        <w:t>Buyout land parcels located within floodplains that experience frequent flooding and damage due to flood events, may be altered, purchased, or have deed restrictions placed upon them by FEMA or other agencies to prevent loss of life and property damage. Property owners/communities with public lands in floodplains are compensated for their land, and the land usually becomes public green space or restored to its natural floodplain function. Mitigated buyout properties are displayed in the EXPERT and RISK MAP Views of the WV Flood Tool.</w:t>
      </w:r>
      <w:r w:rsidR="00645DB8">
        <w:br/>
      </w:r>
    </w:p>
    <w:p w14:paraId="709F7768" w14:textId="5E3594B2" w:rsidR="000C24C1" w:rsidRDefault="000C24C1" w:rsidP="00BC2228">
      <w:r w:rsidRPr="000C24C1">
        <w:rPr>
          <w:b/>
          <w:bCs/>
          <w:color w:val="002060"/>
        </w:rPr>
        <w:t>Fayette County</w:t>
      </w:r>
      <w:r>
        <w:t xml:space="preserve"> has the most verified buyout properties in </w:t>
      </w:r>
      <w:r w:rsidRPr="000C24C1">
        <w:rPr>
          <w:b/>
          <w:bCs/>
          <w:color w:val="002060"/>
        </w:rPr>
        <w:t>Region 4</w:t>
      </w:r>
      <w:r>
        <w:t xml:space="preserve"> at 184 (ranked 3</w:t>
      </w:r>
      <w:r w:rsidRPr="000C24C1">
        <w:rPr>
          <w:vertAlign w:val="superscript"/>
        </w:rPr>
        <w:t>rd</w:t>
      </w:r>
      <w:r>
        <w:t xml:space="preserve"> in the State) and 54 non-verified properties.  </w:t>
      </w:r>
      <w:r w:rsidRPr="000C24C1">
        <w:rPr>
          <w:b/>
          <w:bCs/>
          <w:color w:val="002060"/>
        </w:rPr>
        <w:t>Greenbrier County</w:t>
      </w:r>
      <w:r>
        <w:t xml:space="preserve"> has 85 (ranked 5</w:t>
      </w:r>
      <w:r w:rsidRPr="000C24C1">
        <w:rPr>
          <w:vertAlign w:val="superscript"/>
        </w:rPr>
        <w:t>th</w:t>
      </w:r>
      <w:r>
        <w:t xml:space="preserve"> the State) verified properties and 10 non-verified properties.  </w:t>
      </w:r>
      <w:r w:rsidRPr="000C24C1">
        <w:rPr>
          <w:b/>
          <w:bCs/>
          <w:color w:val="002060"/>
        </w:rPr>
        <w:t xml:space="preserve">Mount Hope </w:t>
      </w:r>
      <w:r>
        <w:t>in Fayette County has the most buyout properties (75 verified and 23 non-verified) of any incorporated municipality in the State.</w:t>
      </w:r>
    </w:p>
    <w:p w14:paraId="44D7BEC5" w14:textId="77777777" w:rsidR="00726B08" w:rsidRPr="00726B08" w:rsidRDefault="00726B08" w:rsidP="00726B08">
      <w:pPr>
        <w:rPr>
          <w:i/>
          <w:iCs/>
        </w:rPr>
      </w:pPr>
      <w:r w:rsidRPr="00726B08">
        <w:rPr>
          <w:i/>
          <w:iCs/>
        </w:rPr>
        <w:t>Confirm buyout properties are allowable for open space purposes only.  Every three years communities are required to inspect and certify that buyout properties are uses only for allowable open space purposes.  Source:  https://www.fema.gov/sites/default/files/2020-07/fy15_hma_addendum.pdf</w:t>
      </w:r>
    </w:p>
    <w:p w14:paraId="48966314" w14:textId="15051BDA" w:rsidR="00726B08" w:rsidRDefault="00726B08" w:rsidP="00726B08">
      <w:pPr>
        <w:rPr>
          <w:i/>
          <w:iCs/>
        </w:rPr>
      </w:pPr>
      <w:r w:rsidRPr="00726B08">
        <w:rPr>
          <w:i/>
          <w:iCs/>
        </w:rPr>
        <w:t>Verify all deed-restricted buyout properties are shown on the WV Flood Tool. Unverified properties (possible buyout properties) are compiled from the statewide property tax database where the parcel intersects the high-risk 1% floodplain, maximum building value is $1000, and part of the owner name contains “commission” or “council” or “city” or “town.”</w:t>
      </w:r>
    </w:p>
    <w:p w14:paraId="000A3804" w14:textId="77777777" w:rsidR="008013A9" w:rsidRPr="00726B08" w:rsidRDefault="008013A9" w:rsidP="00726B08">
      <w:pPr>
        <w:rPr>
          <w:i/>
          <w:iCs/>
        </w:rPr>
      </w:pPr>
    </w:p>
    <w:p w14:paraId="5C340CC5" w14:textId="77777777" w:rsidR="00EB161E" w:rsidRDefault="006B7815" w:rsidP="00EB161E">
      <w:pPr>
        <w:spacing w:after="0"/>
        <w:rPr>
          <w:rStyle w:val="Heading2Char"/>
        </w:rPr>
      </w:pPr>
      <w:bookmarkStart w:id="47" w:name="_Toc114650864"/>
      <w:r w:rsidRPr="008013A9">
        <w:rPr>
          <w:rStyle w:val="Heading2Char"/>
        </w:rPr>
        <w:t>Repetitive Loss Structures</w:t>
      </w:r>
      <w:bookmarkEnd w:id="47"/>
    </w:p>
    <w:p w14:paraId="19175365" w14:textId="46DB4E36" w:rsidR="00EB161E" w:rsidRDefault="00EB161E" w:rsidP="00EB161E">
      <w:pPr>
        <w:spacing w:after="0"/>
      </w:pPr>
      <w:r>
        <w:t>Repetitive Loss (RL) properties are a mitigation priority for West Virginia and FEMA. The primary objective of the RL properties strategy is to eliminate or reduce the damage to property and the disruption to life caused by repeated flooding of the same properties. Repetitive loss data is important for NFIP Coordination, Building-Level Loss Estimate Model Verification, Hazard Mitigation Planning / Implementation, and Community Rating System (CRS). Repetitive loss data of private structures at the site-address level are subject to the Privacy Act of 1974.</w:t>
      </w:r>
    </w:p>
    <w:p w14:paraId="54D34856" w14:textId="678D88BF" w:rsidR="00EB161E" w:rsidRDefault="00EB161E" w:rsidP="00EB161E"/>
    <w:p w14:paraId="31AFA525" w14:textId="11AA2A10" w:rsidR="009D7A4C" w:rsidRDefault="008013A9" w:rsidP="008013A9">
      <w:r>
        <w:t xml:space="preserve">Address Matching (Geocodlng) of RL Structures:  Of the 3,132 RL structures in the State, after clean-up and editing, only 73% have addresses that can be geocoded (address matched to x,y coordinates) by a </w:t>
      </w:r>
      <w:r>
        <w:lastRenderedPageBreak/>
        <w:t>house number or street. 54% (1,679) of the total RL structures were site address matched and 20% (613) were street matched.  Although the statewide address match is only 54% for site addresses, RL information combined with other risk data layers (Substantial Damage Model Estimates, Mitigated Properties, Flood Depths, High-Water Marks) are beneficial in identifying Areas of Mitigation Interest (AoMI).</w:t>
      </w:r>
    </w:p>
    <w:p w14:paraId="73395F76" w14:textId="77777777" w:rsidR="009D7A4C" w:rsidRPr="009D7A4C" w:rsidRDefault="009D7A4C" w:rsidP="009D7A4C"/>
    <w:p w14:paraId="290C8726" w14:textId="340172D2" w:rsidR="00B67786" w:rsidRDefault="00B67786" w:rsidP="00B46DE2">
      <w:pPr>
        <w:pStyle w:val="Heading2"/>
      </w:pPr>
      <w:bookmarkStart w:id="48" w:name="_Toc114650865"/>
      <w:r>
        <w:t>Open Space Preservation</w:t>
      </w:r>
      <w:bookmarkEnd w:id="48"/>
    </w:p>
    <w:p w14:paraId="2AEBA489" w14:textId="6276E4C0" w:rsidR="00886233" w:rsidRDefault="00886233" w:rsidP="00886233">
      <w:r>
        <w:t>Natural floodplains provide flood risk reduction benefits by slowing runoff and storing flood water. They also provide other benefits of considerable economic, social, and environmental value that are often overlooked when local land-use decisions are made.  Open Space Preservation restores the floodplain to its natural function and provides opportunities for credits from FEMA’s Community Rating System (CRS). Open Space Preservation mapping layers include Deed Restricted Buyout Properties, Private Lands (Nature Preserves, Land Trust) and Public Lands (state and local lands).  These layers are viewable on the RiskMAP View of the WV Flood Tool.</w:t>
      </w:r>
    </w:p>
    <w:p w14:paraId="448E55A7" w14:textId="77777777" w:rsidR="00886233" w:rsidRDefault="00886233" w:rsidP="00886233">
      <w:r>
        <w:t>The National Flood Insurance Program's (NFIP) Community Rating System (CRS) is a voluntary incentive program that recognizes and encourages community floodplain management activities that exceed the minimum NFIP requirements. The community’s CRS class is displayed in the Flood Query Results Panel of the WV Flood Tool. State-based CRS credits are provided by the WV Flood Tool to support CRS activities for its communities.</w:t>
      </w:r>
    </w:p>
    <w:p w14:paraId="5053E35F" w14:textId="6B2A3325" w:rsidR="00796DC2" w:rsidRDefault="00796DC2" w:rsidP="00796DC2">
      <w:r>
        <w:t>It is estimated that m</w:t>
      </w:r>
      <w:r w:rsidR="00886233">
        <w:t>ore than 100 CRS open space credits can be earned for each of the categories Open Space Preservation (CRS 420 activity) and Acquisition and Relocation of Buildings (CRS 520 Activity).</w:t>
      </w:r>
      <w:r>
        <w:t xml:space="preserve">  Refer to th</w:t>
      </w:r>
      <w:r w:rsidRPr="00796DC2">
        <w:t xml:space="preserve">e </w:t>
      </w:r>
      <w:hyperlink r:id="rId32" w:history="1">
        <w:r w:rsidRPr="00796DC2">
          <w:rPr>
            <w:rStyle w:val="Hyperlink"/>
          </w:rPr>
          <w:t>Mount Hope Case Study</w:t>
        </w:r>
      </w:hyperlink>
      <w:r w:rsidRPr="00796DC2">
        <w:t xml:space="preserve"> on</w:t>
      </w:r>
      <w:r>
        <w:t xml:space="preserve"> how CRS credits can be calculated for these activities.  All CRS credits must be verified by a CRS/ISO Specialist.</w:t>
      </w:r>
    </w:p>
    <w:p w14:paraId="16910620" w14:textId="1ABF100B" w:rsidR="000A253F" w:rsidRDefault="00796DC2" w:rsidP="00886233">
      <w:r>
        <w:t>CRS Class 9 communities</w:t>
      </w:r>
      <w:r w:rsidRPr="00796DC2">
        <w:rPr>
          <w:color w:val="002060"/>
        </w:rPr>
        <w:t xml:space="preserve"> </w:t>
      </w:r>
      <w:r w:rsidR="00886233" w:rsidRPr="00796DC2">
        <w:rPr>
          <w:b/>
          <w:bCs/>
          <w:color w:val="002060"/>
        </w:rPr>
        <w:t>Fayette</w:t>
      </w:r>
      <w:r w:rsidRPr="00796DC2">
        <w:rPr>
          <w:b/>
          <w:bCs/>
          <w:color w:val="002060"/>
        </w:rPr>
        <w:t xml:space="preserve"> Unincorporated</w:t>
      </w:r>
      <w:r w:rsidR="00886233">
        <w:t xml:space="preserve"> and </w:t>
      </w:r>
      <w:r w:rsidR="00886233" w:rsidRPr="00796DC2">
        <w:rPr>
          <w:b/>
          <w:bCs/>
          <w:color w:val="002060"/>
        </w:rPr>
        <w:t xml:space="preserve">Greenbrier </w:t>
      </w:r>
      <w:r w:rsidRPr="00796DC2">
        <w:rPr>
          <w:b/>
          <w:bCs/>
          <w:color w:val="002060"/>
        </w:rPr>
        <w:t>Unincorporated</w:t>
      </w:r>
      <w:r>
        <w:t xml:space="preserve"> are eligible for these credits.</w:t>
      </w:r>
      <w:r w:rsidR="00886233">
        <w:t xml:space="preserve"> </w:t>
      </w:r>
      <w:r>
        <w:t xml:space="preserve">  The t</w:t>
      </w:r>
      <w:r w:rsidR="00886233">
        <w:t xml:space="preserve">owns of </w:t>
      </w:r>
      <w:r w:rsidR="00886233" w:rsidRPr="00796DC2">
        <w:rPr>
          <w:b/>
          <w:bCs/>
          <w:color w:val="002060"/>
        </w:rPr>
        <w:t>Mount Hope</w:t>
      </w:r>
      <w:r w:rsidR="00886233">
        <w:t xml:space="preserve">, </w:t>
      </w:r>
      <w:r w:rsidR="00886233" w:rsidRPr="00796DC2">
        <w:rPr>
          <w:b/>
          <w:bCs/>
          <w:color w:val="002060"/>
        </w:rPr>
        <w:t>Rupert</w:t>
      </w:r>
      <w:r w:rsidR="00886233">
        <w:t xml:space="preserve">, </w:t>
      </w:r>
      <w:r w:rsidR="00886233" w:rsidRPr="00796DC2">
        <w:rPr>
          <w:b/>
          <w:bCs/>
          <w:color w:val="002060"/>
        </w:rPr>
        <w:t>Marlinton</w:t>
      </w:r>
      <w:r w:rsidR="00886233">
        <w:t xml:space="preserve">, </w:t>
      </w:r>
      <w:r w:rsidR="00886233" w:rsidRPr="00796DC2">
        <w:rPr>
          <w:b/>
          <w:bCs/>
          <w:color w:val="002060"/>
        </w:rPr>
        <w:t>Ronceverte</w:t>
      </w:r>
      <w:r w:rsidR="00886233">
        <w:t xml:space="preserve">, and </w:t>
      </w:r>
      <w:r w:rsidR="00886233" w:rsidRPr="00796DC2">
        <w:rPr>
          <w:b/>
          <w:bCs/>
          <w:color w:val="002060"/>
        </w:rPr>
        <w:t>Webster Springs</w:t>
      </w:r>
      <w:r>
        <w:t xml:space="preserve"> would also be </w:t>
      </w:r>
      <w:r w:rsidR="000A253F">
        <w:t>eligible if these communities were to participate in the CRS program.</w:t>
      </w:r>
    </w:p>
    <w:p w14:paraId="4F129347" w14:textId="3B7ECADC" w:rsidR="000A253F" w:rsidRDefault="000A253F" w:rsidP="00886233">
      <w:r>
        <w:t>Resources:  CL Table | FL Table | Graphic | CRS Calculations</w:t>
      </w:r>
    </w:p>
    <w:p w14:paraId="15F4AA1B" w14:textId="77777777" w:rsidR="0087303C" w:rsidRDefault="0087303C" w:rsidP="006B7815">
      <w:pPr>
        <w:pStyle w:val="Heading2"/>
      </w:pPr>
    </w:p>
    <w:p w14:paraId="5CDD7874" w14:textId="1BBF538B" w:rsidR="00716087" w:rsidRDefault="00716087" w:rsidP="006B7815">
      <w:pPr>
        <w:pStyle w:val="Heading2"/>
      </w:pPr>
      <w:bookmarkStart w:id="49" w:name="_Toc114650866"/>
      <w:r>
        <w:t>Areas of Mitigation Interest (AoMI)</w:t>
      </w:r>
      <w:bookmarkEnd w:id="49"/>
    </w:p>
    <w:p w14:paraId="1CA4C42B" w14:textId="6E36DFEB" w:rsidR="003418CE" w:rsidRDefault="003418CE" w:rsidP="003418CE">
      <w:r>
        <w:t xml:space="preserve">Areas of Mitigation (AoMI) are identified by Repetitive Loss structures, Substantial Damage </w:t>
      </w:r>
      <w:r w:rsidR="008013A9">
        <w:t xml:space="preserve">Model </w:t>
      </w:r>
      <w:r>
        <w:t xml:space="preserve">Estimates, Mitigated Properties, Flood Depths, High-Water Marks, and Similar Topography.  Graphics of reference data for AoMI determinations: </w:t>
      </w:r>
    </w:p>
    <w:p w14:paraId="78065ABE" w14:textId="77777777" w:rsidR="003418CE" w:rsidRDefault="0087303C" w:rsidP="003418CE">
      <w:pPr>
        <w:pStyle w:val="ListParagraph"/>
        <w:numPr>
          <w:ilvl w:val="0"/>
          <w:numId w:val="10"/>
        </w:numPr>
        <w:spacing w:after="200" w:line="276" w:lineRule="auto"/>
      </w:pPr>
      <w:hyperlink r:id="rId33" w:history="1">
        <w:r w:rsidR="003418CE" w:rsidRPr="00217171">
          <w:rPr>
            <w:rStyle w:val="Hyperlink"/>
          </w:rPr>
          <w:t>Areas of Mitigation Interest (AoMI)</w:t>
        </w:r>
      </w:hyperlink>
    </w:p>
    <w:p w14:paraId="26D422E9" w14:textId="77777777" w:rsidR="003418CE" w:rsidRDefault="0087303C" w:rsidP="003418CE">
      <w:pPr>
        <w:pStyle w:val="ListParagraph"/>
        <w:numPr>
          <w:ilvl w:val="0"/>
          <w:numId w:val="10"/>
        </w:numPr>
        <w:spacing w:after="200" w:line="276" w:lineRule="auto"/>
      </w:pPr>
      <w:hyperlink r:id="rId34" w:history="1">
        <w:r w:rsidR="003418CE" w:rsidRPr="00910115">
          <w:rPr>
            <w:rStyle w:val="Hyperlink"/>
          </w:rPr>
          <w:t>Repetitive Loss Structures</w:t>
        </w:r>
      </w:hyperlink>
    </w:p>
    <w:p w14:paraId="334C1019" w14:textId="77777777" w:rsidR="003418CE" w:rsidRDefault="0087303C" w:rsidP="003418CE">
      <w:pPr>
        <w:pStyle w:val="ListParagraph"/>
        <w:numPr>
          <w:ilvl w:val="0"/>
          <w:numId w:val="10"/>
        </w:numPr>
        <w:spacing w:after="200" w:line="276" w:lineRule="auto"/>
      </w:pPr>
      <w:hyperlink r:id="rId35" w:history="1">
        <w:r w:rsidR="003418CE" w:rsidRPr="00894077">
          <w:rPr>
            <w:rStyle w:val="Hyperlink"/>
          </w:rPr>
          <w:t>Buyout Properties</w:t>
        </w:r>
      </w:hyperlink>
    </w:p>
    <w:p w14:paraId="0812658E" w14:textId="77777777" w:rsidR="003418CE" w:rsidRDefault="0087303C" w:rsidP="003418CE">
      <w:pPr>
        <w:pStyle w:val="ListParagraph"/>
        <w:numPr>
          <w:ilvl w:val="0"/>
          <w:numId w:val="10"/>
        </w:numPr>
        <w:spacing w:after="200" w:line="276" w:lineRule="auto"/>
      </w:pPr>
      <w:hyperlink r:id="rId36" w:history="1">
        <w:r w:rsidR="003418CE" w:rsidRPr="001C1905">
          <w:rPr>
            <w:rStyle w:val="Hyperlink"/>
          </w:rPr>
          <w:t>High Flood Depths or Water Depths-in-Structure</w:t>
        </w:r>
      </w:hyperlink>
    </w:p>
    <w:p w14:paraId="44CE9D3A" w14:textId="77777777" w:rsidR="003418CE" w:rsidRDefault="0087303C" w:rsidP="003418CE">
      <w:pPr>
        <w:pStyle w:val="ListParagraph"/>
        <w:numPr>
          <w:ilvl w:val="0"/>
          <w:numId w:val="10"/>
        </w:numPr>
        <w:spacing w:after="200" w:line="276" w:lineRule="auto"/>
      </w:pPr>
      <w:hyperlink r:id="rId37" w:history="1">
        <w:r w:rsidR="003418CE" w:rsidRPr="007F3BB7">
          <w:rPr>
            <w:rStyle w:val="Hyperlink"/>
          </w:rPr>
          <w:t>High-Water Marks</w:t>
        </w:r>
      </w:hyperlink>
    </w:p>
    <w:p w14:paraId="45728D17" w14:textId="77777777" w:rsidR="003418CE" w:rsidRDefault="0087303C" w:rsidP="003418CE">
      <w:pPr>
        <w:pStyle w:val="ListParagraph"/>
        <w:numPr>
          <w:ilvl w:val="0"/>
          <w:numId w:val="10"/>
        </w:numPr>
        <w:spacing w:after="200" w:line="276" w:lineRule="auto"/>
      </w:pPr>
      <w:hyperlink r:id="rId38" w:history="1">
        <w:r w:rsidR="003418CE" w:rsidRPr="00CC2DF0">
          <w:rPr>
            <w:rStyle w:val="Hyperlink"/>
          </w:rPr>
          <w:t xml:space="preserve">Building Damage $ </w:t>
        </w:r>
        <w:r w:rsidR="003418CE">
          <w:rPr>
            <w:rStyle w:val="Hyperlink"/>
          </w:rPr>
          <w:t>Non-Residential</w:t>
        </w:r>
      </w:hyperlink>
      <w:r w:rsidR="003418CE">
        <w:t xml:space="preserve"> |</w:t>
      </w:r>
      <w:hyperlink r:id="rId39" w:history="1">
        <w:r w:rsidR="003418CE" w:rsidRPr="00454531">
          <w:rPr>
            <w:rStyle w:val="Hyperlink"/>
          </w:rPr>
          <w:t xml:space="preserve">Building Damage $ Residential </w:t>
        </w:r>
      </w:hyperlink>
    </w:p>
    <w:p w14:paraId="569B8F15" w14:textId="77777777" w:rsidR="003418CE" w:rsidRDefault="0087303C" w:rsidP="003418CE">
      <w:pPr>
        <w:pStyle w:val="ListParagraph"/>
        <w:numPr>
          <w:ilvl w:val="0"/>
          <w:numId w:val="10"/>
        </w:numPr>
        <w:spacing w:after="200" w:line="276" w:lineRule="auto"/>
      </w:pPr>
      <w:hyperlink r:id="rId40" w:history="1">
        <w:r w:rsidR="003418CE" w:rsidRPr="00A41D5C">
          <w:rPr>
            <w:rStyle w:val="Hyperlink"/>
          </w:rPr>
          <w:t>Substantial Damage Estimates</w:t>
        </w:r>
      </w:hyperlink>
    </w:p>
    <w:p w14:paraId="6A0B6092" w14:textId="0FA0E217" w:rsidR="00716087" w:rsidRPr="00EB7AF9" w:rsidRDefault="003418CE" w:rsidP="00BC2228">
      <w:pPr>
        <w:rPr>
          <w:i/>
          <w:iCs/>
        </w:rPr>
      </w:pPr>
      <w:r>
        <w:t>Areas of Mitigation Interest (AoMI)</w:t>
      </w:r>
      <w:r w:rsidR="00EB7AF9">
        <w:t xml:space="preserve"> identified with the criteria above</w:t>
      </w:r>
      <w:r>
        <w:t xml:space="preserve"> are displayed on the</w:t>
      </w:r>
      <w:r w:rsidR="00EB7AF9">
        <w:t xml:space="preserve"> WV Flood Tool’s RiskMAP View.  Reports can also be generated with the building within the AoMIs.  </w:t>
      </w:r>
      <w:r w:rsidR="00645DB8">
        <w:rPr>
          <w:i/>
          <w:iCs/>
        </w:rPr>
        <w:t>For</w:t>
      </w:r>
      <w:r w:rsidR="00EB7AF9" w:rsidRPr="00EB7AF9">
        <w:rPr>
          <w:i/>
          <w:iCs/>
        </w:rPr>
        <w:t xml:space="preserve"> local hazard mitigation plan updates, communities should </w:t>
      </w:r>
      <w:r w:rsidR="00EB7AF9">
        <w:rPr>
          <w:i/>
          <w:iCs/>
        </w:rPr>
        <w:t>review</w:t>
      </w:r>
      <w:r w:rsidR="00645DB8">
        <w:rPr>
          <w:i/>
          <w:iCs/>
        </w:rPr>
        <w:t xml:space="preserve"> and prioritize</w:t>
      </w:r>
      <w:r w:rsidR="00EB7AF9">
        <w:rPr>
          <w:i/>
          <w:iCs/>
        </w:rPr>
        <w:t xml:space="preserve"> AoMIs for </w:t>
      </w:r>
      <w:r w:rsidR="00645DB8">
        <w:rPr>
          <w:i/>
          <w:iCs/>
        </w:rPr>
        <w:t xml:space="preserve">potential </w:t>
      </w:r>
      <w:r w:rsidR="00EB7AF9">
        <w:rPr>
          <w:i/>
          <w:iCs/>
        </w:rPr>
        <w:t>mitigation actions.</w:t>
      </w:r>
    </w:p>
    <w:p w14:paraId="1EA3C97A" w14:textId="77777777" w:rsidR="00716087" w:rsidRDefault="00716087" w:rsidP="00BC2228"/>
    <w:p w14:paraId="42E22D10" w14:textId="4679E6F0" w:rsidR="00BF77FC" w:rsidRDefault="00BF77FC" w:rsidP="00BF77FC">
      <w:pPr>
        <w:pStyle w:val="Heading1"/>
      </w:pPr>
      <w:bookmarkStart w:id="50" w:name="_Toc114650867"/>
      <w:r>
        <w:t>OTHER HAZARDS</w:t>
      </w:r>
      <w:bookmarkEnd w:id="50"/>
    </w:p>
    <w:p w14:paraId="39D1DB98" w14:textId="77777777" w:rsidR="00BF77FC" w:rsidRDefault="00BF77FC" w:rsidP="00BC2228"/>
    <w:p w14:paraId="68F5E5B9" w14:textId="77777777" w:rsidR="00A606FB" w:rsidRPr="00717A1F" w:rsidRDefault="00BF77FC" w:rsidP="00A606FB">
      <w:pPr>
        <w:shd w:val="clear" w:color="auto" w:fill="FFFFFF"/>
        <w:spacing w:before="100" w:beforeAutospacing="1" w:after="100" w:afterAutospacing="1"/>
        <w:rPr>
          <w:rFonts w:cstheme="minorHAnsi"/>
          <w:color w:val="000000"/>
        </w:rPr>
      </w:pPr>
      <w:bookmarkStart w:id="51" w:name="_Toc114650868"/>
      <w:r>
        <w:rPr>
          <w:rStyle w:val="Heading2Char"/>
        </w:rPr>
        <w:t>D</w:t>
      </w:r>
      <w:r w:rsidR="006B7815">
        <w:rPr>
          <w:rStyle w:val="Heading2Char"/>
        </w:rPr>
        <w:t>ams</w:t>
      </w:r>
      <w:bookmarkEnd w:id="51"/>
      <w:r w:rsidR="00A606FB">
        <w:rPr>
          <w:rStyle w:val="Heading2Char"/>
        </w:rPr>
        <w:br/>
      </w:r>
      <w:r w:rsidR="00A606FB" w:rsidRPr="00717A1F">
        <w:rPr>
          <w:b/>
          <w:bCs/>
        </w:rPr>
        <w:t>Description:</w:t>
      </w:r>
      <w:r w:rsidR="00A606FB" w:rsidRPr="00717A1F">
        <w:t xml:space="preserve">  </w:t>
      </w:r>
      <w:r w:rsidR="00A606FB" w:rsidRPr="00717A1F">
        <w:rPr>
          <w:b/>
          <w:bCs/>
          <w:color w:val="1F4E79" w:themeColor="accent1" w:themeShade="80"/>
        </w:rPr>
        <w:t xml:space="preserve">Dams </w:t>
      </w:r>
      <w:r w:rsidR="00A606FB" w:rsidRPr="00717A1F">
        <w:t xml:space="preserve">play a vital role in the nation’s overall infrastructure and contribute to the economic development and to the social welfare of the public.  Dam infrastructure can be affected by natural hazards, man-made threats, as well as an imbalance between resources invested and a dam’s age.  </w:t>
      </w:r>
      <w:r w:rsidR="00A606FB" w:rsidRPr="00717A1F">
        <w:rPr>
          <w:rFonts w:cstheme="minorHAnsi"/>
          <w:color w:val="000000"/>
        </w:rPr>
        <w:t xml:space="preserve">The </w:t>
      </w:r>
      <w:r w:rsidR="00A606FB" w:rsidRPr="00717A1F">
        <w:rPr>
          <w:rFonts w:cstheme="minorHAnsi"/>
          <w:b/>
          <w:bCs/>
          <w:color w:val="1F4E79" w:themeColor="accent1" w:themeShade="80"/>
        </w:rPr>
        <w:t>National Inventory of Dams</w:t>
      </w:r>
      <w:r w:rsidR="00A606FB" w:rsidRPr="00717A1F">
        <w:rPr>
          <w:rFonts w:cstheme="minorHAnsi"/>
          <w:color w:val="1F4E79" w:themeColor="accent1" w:themeShade="80"/>
        </w:rPr>
        <w:t xml:space="preserve"> </w:t>
      </w:r>
      <w:r w:rsidR="00A606FB" w:rsidRPr="00717A1F">
        <w:rPr>
          <w:rFonts w:cstheme="minorHAnsi"/>
          <w:color w:val="000000"/>
        </w:rPr>
        <w:t>(</w:t>
      </w:r>
      <w:r w:rsidR="00A606FB">
        <w:rPr>
          <w:rFonts w:cstheme="minorHAnsi"/>
          <w:color w:val="000000"/>
        </w:rPr>
        <w:t>NID) includes dams more than 25 feet</w:t>
      </w:r>
      <w:r w:rsidR="00A606FB" w:rsidRPr="00717A1F">
        <w:rPr>
          <w:rFonts w:cstheme="minorHAnsi"/>
          <w:color w:val="000000"/>
        </w:rPr>
        <w:t xml:space="preserve"> in height or storing more than 50 acre-f</w:t>
      </w:r>
      <w:r w:rsidR="00A606FB">
        <w:rPr>
          <w:rFonts w:cstheme="minorHAnsi"/>
          <w:color w:val="000000"/>
        </w:rPr>
        <w:t>ee</w:t>
      </w:r>
      <w:r w:rsidR="00A606FB" w:rsidRPr="00717A1F">
        <w:rPr>
          <w:rFonts w:cstheme="minorHAnsi"/>
          <w:color w:val="000000"/>
        </w:rPr>
        <w:t xml:space="preserve">t or </w:t>
      </w:r>
      <w:r w:rsidR="00A606FB" w:rsidRPr="00717A1F">
        <w:rPr>
          <w:rFonts w:cstheme="minorHAnsi"/>
        </w:rPr>
        <w:t xml:space="preserve">classified as High Hazard or </w:t>
      </w:r>
      <w:r w:rsidR="00A606FB" w:rsidRPr="00717A1F">
        <w:rPr>
          <w:rFonts w:cstheme="minorHAnsi"/>
          <w:color w:val="000000"/>
        </w:rPr>
        <w:t xml:space="preserve">Significant Hazard potential.  About 60% of the </w:t>
      </w:r>
      <w:hyperlink r:id="rId41" w:history="1">
        <w:r w:rsidR="00A606FB" w:rsidRPr="00014E69">
          <w:rPr>
            <w:rStyle w:val="Hyperlink"/>
            <w:rFonts w:cstheme="minorHAnsi"/>
          </w:rPr>
          <w:t>632 dams</w:t>
        </w:r>
      </w:hyperlink>
      <w:r w:rsidR="00A606FB" w:rsidRPr="00717A1F">
        <w:rPr>
          <w:rFonts w:cstheme="minorHAnsi"/>
          <w:color w:val="000000"/>
        </w:rPr>
        <w:t xml:space="preserve"> listed in the </w:t>
      </w:r>
      <w:r w:rsidR="00A606FB" w:rsidRPr="00717A1F">
        <w:rPr>
          <w:rFonts w:cstheme="minorHAnsi"/>
          <w:color w:val="000000" w:themeColor="text1"/>
        </w:rPr>
        <w:t xml:space="preserve">National Inventory of Dams 2020 </w:t>
      </w:r>
      <w:r w:rsidR="00A606FB" w:rsidRPr="00717A1F">
        <w:rPr>
          <w:rFonts w:cstheme="minorHAnsi"/>
          <w:color w:val="000000"/>
        </w:rPr>
        <w:t xml:space="preserve">database for West Virginia are regulated by the State.  </w:t>
      </w:r>
    </w:p>
    <w:p w14:paraId="3C7ACB77" w14:textId="77777777" w:rsidR="00A606FB" w:rsidRPr="00717A1F" w:rsidRDefault="00A606FB" w:rsidP="00A606FB">
      <w:pPr>
        <w:shd w:val="clear" w:color="auto" w:fill="FFFFFF"/>
        <w:spacing w:before="100" w:beforeAutospacing="1" w:after="100" w:afterAutospacing="1"/>
        <w:rPr>
          <w:rFonts w:cstheme="minorHAnsi"/>
          <w:color w:val="000000"/>
        </w:rPr>
      </w:pPr>
      <w:r w:rsidRPr="00717A1F">
        <w:rPr>
          <w:rFonts w:cstheme="minorHAnsi"/>
          <w:b/>
          <w:bCs/>
          <w:color w:val="000000"/>
        </w:rPr>
        <w:t>High Hazard Potential:</w:t>
      </w:r>
      <w:r w:rsidRPr="00717A1F">
        <w:rPr>
          <w:rFonts w:cstheme="minorHAnsi"/>
          <w:color w:val="000000"/>
        </w:rPr>
        <w:t xml:space="preserve">  Dams are assigned the </w:t>
      </w:r>
      <w:r w:rsidRPr="00717A1F">
        <w:rPr>
          <w:rFonts w:cstheme="minorHAnsi"/>
          <w:b/>
          <w:bCs/>
          <w:color w:val="1F4E79" w:themeColor="accent1" w:themeShade="80"/>
        </w:rPr>
        <w:t>high hazard potential classification</w:t>
      </w:r>
      <w:r w:rsidRPr="00717A1F">
        <w:rPr>
          <w:rFonts w:cstheme="minorHAnsi"/>
          <w:color w:val="1F4E79" w:themeColor="accent1" w:themeShade="80"/>
        </w:rPr>
        <w:t xml:space="preserve"> </w:t>
      </w:r>
      <w:r w:rsidRPr="00717A1F">
        <w:rPr>
          <w:rFonts w:cstheme="minorHAnsi"/>
          <w:color w:val="000000"/>
        </w:rPr>
        <w:t xml:space="preserve">if failure or mis-operation will probably cause loss of human life.  Of the 295 high hazard dams (47%) in West Virginia, 11 dams are maintained by the USACE and 153 dams </w:t>
      </w:r>
      <w:r>
        <w:rPr>
          <w:rFonts w:cstheme="minorHAnsi"/>
          <w:color w:val="000000"/>
        </w:rPr>
        <w:t xml:space="preserve">are </w:t>
      </w:r>
      <w:r w:rsidRPr="00717A1F">
        <w:rPr>
          <w:rFonts w:cstheme="minorHAnsi"/>
          <w:color w:val="000000"/>
        </w:rPr>
        <w:t xml:space="preserve">supported by the NRCS.  </w:t>
      </w:r>
    </w:p>
    <w:p w14:paraId="10B4704D" w14:textId="2E09F5E3" w:rsidR="00561795" w:rsidRDefault="00A606FB" w:rsidP="00A606FB">
      <w:pPr>
        <w:shd w:val="clear" w:color="auto" w:fill="FFFFFF"/>
        <w:spacing w:before="100" w:beforeAutospacing="1" w:after="100" w:afterAutospacing="1"/>
        <w:rPr>
          <w:rFonts w:cstheme="minorHAnsi"/>
          <w:color w:val="000000"/>
          <w:shd w:val="clear" w:color="auto" w:fill="FFFFFF"/>
        </w:rPr>
      </w:pPr>
      <w:r w:rsidRPr="00717A1F">
        <w:rPr>
          <w:rFonts w:cstheme="minorHAnsi"/>
          <w:b/>
          <w:bCs/>
        </w:rPr>
        <w:t xml:space="preserve">Region </w:t>
      </w:r>
      <w:r>
        <w:rPr>
          <w:rFonts w:cstheme="minorHAnsi"/>
          <w:b/>
          <w:bCs/>
        </w:rPr>
        <w:t>4</w:t>
      </w:r>
      <w:r w:rsidRPr="00717A1F">
        <w:rPr>
          <w:rFonts w:cstheme="minorHAnsi"/>
          <w:b/>
          <w:bCs/>
        </w:rPr>
        <w:t xml:space="preserve"> Dams:  </w:t>
      </w:r>
      <w:r w:rsidRPr="00717A1F">
        <w:rPr>
          <w:rFonts w:cstheme="minorHAnsi"/>
          <w:bCs/>
        </w:rPr>
        <w:t xml:space="preserve">Region </w:t>
      </w:r>
      <w:r>
        <w:rPr>
          <w:rFonts w:cstheme="minorHAnsi"/>
          <w:bCs/>
        </w:rPr>
        <w:t>4</w:t>
      </w:r>
      <w:r w:rsidRPr="00717A1F">
        <w:rPr>
          <w:rFonts w:cstheme="minorHAnsi"/>
          <w:bCs/>
        </w:rPr>
        <w:t xml:space="preserve"> has </w:t>
      </w:r>
      <w:r>
        <w:rPr>
          <w:rFonts w:cstheme="minorHAnsi"/>
          <w:bCs/>
        </w:rPr>
        <w:t>36</w:t>
      </w:r>
      <w:r w:rsidRPr="00717A1F">
        <w:rPr>
          <w:rFonts w:cstheme="minorHAnsi"/>
          <w:bCs/>
        </w:rPr>
        <w:t xml:space="preserve"> d</w:t>
      </w:r>
      <w:r>
        <w:rPr>
          <w:rFonts w:cstheme="minorHAnsi"/>
          <w:bCs/>
        </w:rPr>
        <w:t xml:space="preserve">ams of which 17 are classified </w:t>
      </w:r>
      <w:r w:rsidRPr="00717A1F">
        <w:rPr>
          <w:rFonts w:cstheme="minorHAnsi"/>
          <w:bCs/>
        </w:rPr>
        <w:t xml:space="preserve">as high hazard potential.  </w:t>
      </w:r>
      <w:r w:rsidR="00561795">
        <w:rPr>
          <w:rFonts w:cstheme="minorHAnsi"/>
          <w:b/>
          <w:color w:val="1F4E79" w:themeColor="accent1" w:themeShade="80"/>
          <w:shd w:val="clear" w:color="auto" w:fill="FFFFFF"/>
        </w:rPr>
        <w:t>Fayette County</w:t>
      </w:r>
      <w:r w:rsidRPr="00717A1F">
        <w:rPr>
          <w:rFonts w:cstheme="minorHAnsi"/>
          <w:color w:val="1F4E79" w:themeColor="accent1" w:themeShade="80"/>
          <w:shd w:val="clear" w:color="auto" w:fill="FFFFFF"/>
        </w:rPr>
        <w:t xml:space="preserve"> </w:t>
      </w:r>
      <w:r w:rsidRPr="00717A1F">
        <w:rPr>
          <w:rFonts w:cstheme="minorHAnsi"/>
          <w:color w:val="000000"/>
          <w:shd w:val="clear" w:color="auto" w:fill="FFFFFF"/>
        </w:rPr>
        <w:t>has the highest number of hig</w:t>
      </w:r>
      <w:r>
        <w:rPr>
          <w:rFonts w:cstheme="minorHAnsi"/>
          <w:color w:val="000000"/>
          <w:shd w:val="clear" w:color="auto" w:fill="FFFFFF"/>
        </w:rPr>
        <w:t xml:space="preserve">h </w:t>
      </w:r>
      <w:r w:rsidRPr="00717A1F">
        <w:rPr>
          <w:rFonts w:cstheme="minorHAnsi"/>
          <w:color w:val="000000"/>
          <w:shd w:val="clear" w:color="auto" w:fill="FFFFFF"/>
        </w:rPr>
        <w:t xml:space="preserve">hazard dams at </w:t>
      </w:r>
      <w:r w:rsidR="00561795">
        <w:rPr>
          <w:rFonts w:cstheme="minorHAnsi"/>
          <w:color w:val="000000"/>
          <w:shd w:val="clear" w:color="auto" w:fill="FFFFFF"/>
        </w:rPr>
        <w:t xml:space="preserve">6.  Constructed in 1965, the </w:t>
      </w:r>
      <w:r w:rsidR="00561795" w:rsidRPr="00CB5ACE">
        <w:rPr>
          <w:rFonts w:cstheme="minorHAnsi"/>
          <w:b/>
          <w:bCs/>
          <w:color w:val="1F4E79" w:themeColor="accent1" w:themeShade="80"/>
          <w:shd w:val="clear" w:color="auto" w:fill="FFFFFF"/>
        </w:rPr>
        <w:t>Summersville Dam</w:t>
      </w:r>
      <w:r w:rsidR="00561795">
        <w:rPr>
          <w:rFonts w:cstheme="minorHAnsi"/>
          <w:color w:val="000000"/>
          <w:shd w:val="clear" w:color="auto" w:fill="FFFFFF"/>
        </w:rPr>
        <w:t xml:space="preserve"> is located on the Gauley River in Nicholas County near the town of Summersville.  The height of the dam is 390 feet tall and the maximum storage 413,400 acre-feet.</w:t>
      </w:r>
      <w:r w:rsidRPr="00717A1F">
        <w:rPr>
          <w:rFonts w:cstheme="minorHAnsi"/>
          <w:color w:val="000000"/>
          <w:shd w:val="clear" w:color="auto" w:fill="FFFFFF"/>
        </w:rPr>
        <w:t xml:space="preserve"> </w:t>
      </w:r>
    </w:p>
    <w:p w14:paraId="7E532108" w14:textId="77777777" w:rsidR="00561795" w:rsidRDefault="00A606FB" w:rsidP="00A606FB">
      <w:pPr>
        <w:rPr>
          <w:rFonts w:cstheme="minorHAnsi"/>
          <w:i/>
          <w:iCs/>
          <w:color w:val="000000" w:themeColor="text1"/>
        </w:rPr>
      </w:pPr>
      <w:r w:rsidRPr="00A606FB">
        <w:rPr>
          <w:rFonts w:cstheme="minorHAnsi"/>
          <w:i/>
          <w:iCs/>
        </w:rPr>
        <w:t xml:space="preserve">Review the </w:t>
      </w:r>
      <w:r w:rsidRPr="00A606FB">
        <w:rPr>
          <w:rFonts w:cstheme="minorHAnsi"/>
          <w:b/>
          <w:bCs/>
          <w:i/>
          <w:iCs/>
        </w:rPr>
        <w:t xml:space="preserve">Emergency Action Plans (EAP) </w:t>
      </w:r>
      <w:r w:rsidRPr="00A606FB">
        <w:rPr>
          <w:rFonts w:cstheme="minorHAnsi"/>
          <w:i/>
          <w:iCs/>
        </w:rPr>
        <w:t xml:space="preserve">and </w:t>
      </w:r>
      <w:r w:rsidRPr="00A606FB">
        <w:rPr>
          <w:rFonts w:cstheme="minorHAnsi"/>
          <w:b/>
          <w:bCs/>
          <w:i/>
          <w:iCs/>
        </w:rPr>
        <w:t>dam failure inundation maps</w:t>
      </w:r>
      <w:r w:rsidRPr="00A606FB">
        <w:rPr>
          <w:rFonts w:cstheme="minorHAnsi"/>
          <w:i/>
          <w:iCs/>
        </w:rPr>
        <w:t xml:space="preserve"> of all </w:t>
      </w:r>
      <w:r w:rsidRPr="00A606FB">
        <w:rPr>
          <w:rFonts w:cstheme="minorHAnsi"/>
          <w:b/>
          <w:bCs/>
          <w:i/>
          <w:iCs/>
          <w:color w:val="1F4E79" w:themeColor="accent1" w:themeShade="80"/>
        </w:rPr>
        <w:t>high hazard dams</w:t>
      </w:r>
      <w:r w:rsidRPr="00A606FB">
        <w:rPr>
          <w:rFonts w:cstheme="minorHAnsi"/>
          <w:i/>
          <w:iCs/>
          <w:color w:val="1F4E79" w:themeColor="accent1" w:themeShade="80"/>
        </w:rPr>
        <w:t xml:space="preserve"> </w:t>
      </w:r>
      <w:r w:rsidRPr="00A606FB">
        <w:rPr>
          <w:rFonts w:cstheme="minorHAnsi"/>
          <w:i/>
          <w:iCs/>
          <w:color w:val="000000" w:themeColor="text1"/>
        </w:rPr>
        <w:t>and identify the farthest downstream community impacted.  Coordinate with the dam owner and dam safety regulators about dam maintenance, mitigation strategies, flood warning and response, and potential downstream effects of overtopping or failure.  Review Community Rating System (CRS) credits for activities Flood Warning and Response (CRS 600) and Dams (CRS 630).</w:t>
      </w:r>
    </w:p>
    <w:p w14:paraId="4DE57774" w14:textId="6CAB86C3" w:rsidR="00A606FB" w:rsidRDefault="00561795" w:rsidP="00A606FB">
      <w:pPr>
        <w:rPr>
          <w:rFonts w:cstheme="minorHAnsi"/>
          <w:i/>
          <w:iCs/>
          <w:color w:val="000000" w:themeColor="text1"/>
        </w:rPr>
      </w:pPr>
      <w:r>
        <w:rPr>
          <w:rFonts w:cstheme="minorHAnsi"/>
          <w:i/>
          <w:iCs/>
          <w:color w:val="000000" w:themeColor="text1"/>
        </w:rPr>
        <w:t xml:space="preserve"> </w:t>
      </w:r>
      <w:r w:rsidRPr="00561795">
        <w:rPr>
          <w:rFonts w:cstheme="minorHAnsi"/>
          <w:i/>
          <w:iCs/>
          <w:color w:val="000000" w:themeColor="text1"/>
          <w:highlight w:val="yellow"/>
        </w:rPr>
        <w:t>Verify inundation zones with the built environment using the following dam inundation viewers:</w:t>
      </w:r>
      <w:r w:rsidR="00A606FB" w:rsidRPr="00A606FB">
        <w:rPr>
          <w:rFonts w:cstheme="minorHAnsi"/>
          <w:i/>
          <w:iCs/>
          <w:color w:val="000000" w:themeColor="text1"/>
        </w:rPr>
        <w:t xml:space="preserve"> </w:t>
      </w:r>
    </w:p>
    <w:p w14:paraId="05D3F703" w14:textId="328AFECC" w:rsidR="00BF77FC" w:rsidRDefault="00A606FB" w:rsidP="00561795">
      <w:r>
        <w:rPr>
          <w:rStyle w:val="Heading2Char"/>
        </w:rPr>
        <w:br/>
      </w:r>
      <w:bookmarkStart w:id="52" w:name="_Toc114650869"/>
      <w:r w:rsidR="00BF77FC" w:rsidRPr="00B46DE2">
        <w:rPr>
          <w:rStyle w:val="Heading2Char"/>
        </w:rPr>
        <w:t>L</w:t>
      </w:r>
      <w:r w:rsidR="006B7815" w:rsidRPr="00B46DE2">
        <w:rPr>
          <w:rStyle w:val="Heading2Char"/>
        </w:rPr>
        <w:t>andslides</w:t>
      </w:r>
      <w:bookmarkEnd w:id="52"/>
      <w:r w:rsidR="00B46DE2">
        <w:rPr>
          <w:rStyle w:val="Heading2Char"/>
        </w:rPr>
        <w:br/>
      </w:r>
      <w:r w:rsidR="00E6662D">
        <w:t>The West Virginia Emergency Management Division (WVEMD), Department of Homeland Security (DHS), and Federal Emergency Management Agency (FEMA) have facilitated landslide susceptibility studies and community-based risk assessments in support of local and state hazard mitigation plans. Landslide susceptibility was modeled using a random forest machine learning method. The model used LiDAR identified landslide locations, topography, soil type, and proximity to roads and streams among many input variables to produce landslide susceptibility grids. Overall,</w:t>
      </w:r>
      <w:r w:rsidR="00E6662D" w:rsidRPr="00CB5ACE">
        <w:rPr>
          <w:b/>
          <w:bCs/>
          <w:color w:val="1F4E79" w:themeColor="accent1" w:themeShade="80"/>
        </w:rPr>
        <w:t xml:space="preserve"> 9,180 landslide points</w:t>
      </w:r>
      <w:r w:rsidR="00E6662D">
        <w:t xml:space="preserve"> were identified </w:t>
      </w:r>
      <w:r w:rsidR="00E6662D">
        <w:lastRenderedPageBreak/>
        <w:t xml:space="preserve">using LiDAR in </w:t>
      </w:r>
      <w:r w:rsidR="00E6662D" w:rsidRPr="00E6662D">
        <w:rPr>
          <w:b/>
          <w:bCs/>
          <w:color w:val="002060"/>
        </w:rPr>
        <w:t>Region 4</w:t>
      </w:r>
      <w:r w:rsidR="00E6662D">
        <w:t>. Risk assessment was performed at the sub-county scale and includes results on roads and structures/parcels. This report summarizes risk assessment results by West Virginia planning and development council regions. Results for Region 4 can be integrated into hazard mitigation plans to enhance resilience and protect communities from landslide hazards. This landslide risk report provides non-regulatory landslide risk information to help local officials, planners, emergency managers, and others better understand their landslide risk, take steps to mitigate those risks, and communicate those risks to citizens and local businesses.</w:t>
      </w:r>
    </w:p>
    <w:p w14:paraId="2C75DFF7" w14:textId="2E5A665E" w:rsidR="00E6662D" w:rsidRDefault="00E6662D" w:rsidP="00561795">
      <w:r>
        <w:t>Th</w:t>
      </w:r>
      <w:r w:rsidR="00504F56">
        <w:t xml:space="preserve">e </w:t>
      </w:r>
      <w:hyperlink r:id="rId42" w:history="1">
        <w:r w:rsidR="00504F56" w:rsidRPr="00504F56">
          <w:rPr>
            <w:rStyle w:val="Hyperlink"/>
          </w:rPr>
          <w:t>Region 4 Landslide Risk Report</w:t>
        </w:r>
      </w:hyperlink>
      <w:r>
        <w:t xml:space="preserve"> provides non-regulatory landslide risk information to help local officials, planners, emergency managers, and others better understand their landslide risk, take steps to mitigate those risks, and communicate those risks to citizens and local businesses.</w:t>
      </w:r>
    </w:p>
    <w:p w14:paraId="493A6CC3" w14:textId="13B13B67" w:rsidR="00CB5ACE" w:rsidRDefault="00CB5ACE" w:rsidP="00561795">
      <w:r w:rsidRPr="00CB5ACE">
        <w:rPr>
          <w:b/>
          <w:bCs/>
        </w:rPr>
        <w:t>Road risk analysis</w:t>
      </w:r>
      <w:r>
        <w:rPr>
          <w:b/>
          <w:bCs/>
        </w:rPr>
        <w:t xml:space="preserve">:  </w:t>
      </w:r>
      <w:r>
        <w:t xml:space="preserve">In Region 4, </w:t>
      </w:r>
      <w:r w:rsidRPr="00CB5ACE">
        <w:rPr>
          <w:b/>
          <w:bCs/>
          <w:color w:val="1F4E79" w:themeColor="accent1" w:themeShade="80"/>
        </w:rPr>
        <w:t>Fayette County</w:t>
      </w:r>
      <w:r w:rsidRPr="00CB5ACE">
        <w:rPr>
          <w:color w:val="1F4E79" w:themeColor="accent1" w:themeShade="80"/>
        </w:rPr>
        <w:t xml:space="preserve"> </w:t>
      </w:r>
      <w:r>
        <w:t xml:space="preserve">has approximately 96 miles of road that is susceptible to high/medium probability of landslides. </w:t>
      </w:r>
      <w:r w:rsidRPr="00CB5ACE">
        <w:rPr>
          <w:b/>
          <w:bCs/>
          <w:color w:val="1F4E79" w:themeColor="accent1" w:themeShade="80"/>
        </w:rPr>
        <w:t>Greenbrier County</w:t>
      </w:r>
      <w:r w:rsidRPr="00CB5ACE">
        <w:rPr>
          <w:color w:val="1F4E79" w:themeColor="accent1" w:themeShade="80"/>
        </w:rPr>
        <w:t xml:space="preserve"> </w:t>
      </w:r>
      <w:r>
        <w:t xml:space="preserve">has almost 110 miles, </w:t>
      </w:r>
      <w:r w:rsidRPr="00CB5ACE">
        <w:rPr>
          <w:b/>
          <w:bCs/>
          <w:color w:val="1F4E79" w:themeColor="accent1" w:themeShade="80"/>
        </w:rPr>
        <w:t xml:space="preserve">Nicholas County </w:t>
      </w:r>
      <w:r>
        <w:t xml:space="preserve">has 46 miles, </w:t>
      </w:r>
      <w:r w:rsidRPr="00CB5ACE">
        <w:rPr>
          <w:b/>
          <w:bCs/>
          <w:color w:val="1F4E79" w:themeColor="accent1" w:themeShade="80"/>
        </w:rPr>
        <w:t>Pocahontas County</w:t>
      </w:r>
      <w:r w:rsidRPr="00CB5ACE">
        <w:rPr>
          <w:color w:val="1F4E79" w:themeColor="accent1" w:themeShade="80"/>
        </w:rPr>
        <w:t xml:space="preserve"> </w:t>
      </w:r>
      <w:r>
        <w:t>has about 119 miles, and</w:t>
      </w:r>
      <w:r w:rsidRPr="00CB5ACE">
        <w:rPr>
          <w:color w:val="1F4E79" w:themeColor="accent1" w:themeShade="80"/>
        </w:rPr>
        <w:t xml:space="preserve"> </w:t>
      </w:r>
      <w:r w:rsidRPr="00CB5ACE">
        <w:rPr>
          <w:b/>
          <w:bCs/>
          <w:color w:val="1F4E79" w:themeColor="accent1" w:themeShade="80"/>
        </w:rPr>
        <w:t>Webster County</w:t>
      </w:r>
      <w:r>
        <w:t xml:space="preserve"> has nearly 105 miles of road prone to high/medium risk for slope failure. Several Region 4 counties rank in the Top 20 for highest number of road miles at risk from landslides in the state. Of all 55 counties, </w:t>
      </w:r>
      <w:r w:rsidRPr="00CB5ACE">
        <w:rPr>
          <w:b/>
          <w:bCs/>
          <w:color w:val="002060"/>
        </w:rPr>
        <w:t xml:space="preserve">Fayette County </w:t>
      </w:r>
      <w:r>
        <w:t xml:space="preserve">ranks 19th, </w:t>
      </w:r>
      <w:r w:rsidRPr="00CB5ACE">
        <w:rPr>
          <w:b/>
          <w:bCs/>
          <w:color w:val="1F4E79" w:themeColor="accent1" w:themeShade="80"/>
        </w:rPr>
        <w:t>Greenbrier</w:t>
      </w:r>
      <w:r w:rsidRPr="00CB5ACE">
        <w:rPr>
          <w:b/>
          <w:bCs/>
          <w:color w:val="002060"/>
        </w:rPr>
        <w:t xml:space="preserve"> </w:t>
      </w:r>
      <w:r>
        <w:t xml:space="preserve">12th, </w:t>
      </w:r>
      <w:r w:rsidRPr="00CB5ACE">
        <w:rPr>
          <w:b/>
          <w:bCs/>
          <w:color w:val="1F4E79" w:themeColor="accent1" w:themeShade="80"/>
        </w:rPr>
        <w:t>Nicholas</w:t>
      </w:r>
      <w:r w:rsidRPr="00CB5ACE">
        <w:rPr>
          <w:b/>
          <w:bCs/>
          <w:color w:val="002060"/>
        </w:rPr>
        <w:t xml:space="preserve"> </w:t>
      </w:r>
      <w:r>
        <w:t xml:space="preserve">39th, </w:t>
      </w:r>
      <w:r w:rsidRPr="00CB5ACE">
        <w:rPr>
          <w:i/>
          <w:iCs/>
          <w:color w:val="1F4E79" w:themeColor="accent1" w:themeShade="80"/>
        </w:rPr>
        <w:t xml:space="preserve">Pocahontas </w:t>
      </w:r>
      <w:r>
        <w:t xml:space="preserve">11th, and </w:t>
      </w:r>
      <w:r w:rsidRPr="00CB5ACE">
        <w:rPr>
          <w:b/>
          <w:bCs/>
          <w:color w:val="1F4E79" w:themeColor="accent1" w:themeShade="80"/>
        </w:rPr>
        <w:t>Webster</w:t>
      </w:r>
      <w:r>
        <w:t xml:space="preserve"> 15th. </w:t>
      </w:r>
    </w:p>
    <w:p w14:paraId="2F577414" w14:textId="4E4EC88F" w:rsidR="00E6662D" w:rsidRDefault="00CB5ACE" w:rsidP="00561795">
      <w:r w:rsidRPr="00CB5ACE">
        <w:rPr>
          <w:b/>
          <w:bCs/>
        </w:rPr>
        <w:t>Structure/Parcel analysis</w:t>
      </w:r>
      <w:r>
        <w:t xml:space="preserve">:  </w:t>
      </w:r>
      <w:r w:rsidRPr="00CB5ACE">
        <w:rPr>
          <w:b/>
          <w:bCs/>
          <w:color w:val="1F4E79" w:themeColor="accent1" w:themeShade="80"/>
        </w:rPr>
        <w:t>Fayette County</w:t>
      </w:r>
      <w:r>
        <w:t xml:space="preserve"> has a total of 305 primary structures with a total appraisal value of $17,653,817 that are in high/medium susceptibility areas. </w:t>
      </w:r>
      <w:r w:rsidRPr="00CB5ACE">
        <w:rPr>
          <w:b/>
          <w:bCs/>
          <w:color w:val="1F4E79" w:themeColor="accent1" w:themeShade="80"/>
        </w:rPr>
        <w:t>Greenbrier County</w:t>
      </w:r>
      <w:r>
        <w:t xml:space="preserve"> has 281 primary structures with a total appraisal value of $61,943,791 in high/medium susceptibility areas. </w:t>
      </w:r>
      <w:r w:rsidRPr="00CB5ACE">
        <w:rPr>
          <w:b/>
          <w:bCs/>
          <w:color w:val="1F4E79" w:themeColor="accent1" w:themeShade="80"/>
        </w:rPr>
        <w:t>Nicholas County</w:t>
      </w:r>
      <w:r>
        <w:t xml:space="preserve"> has 282 primary structures with a total appraisal value of $5,033,059 in high/medium susceptibility areas. </w:t>
      </w:r>
      <w:r w:rsidRPr="00CB5ACE">
        <w:rPr>
          <w:b/>
          <w:bCs/>
          <w:color w:val="1F4E79" w:themeColor="accent1" w:themeShade="80"/>
        </w:rPr>
        <w:t>Pocahontas County</w:t>
      </w:r>
      <w:r>
        <w:t xml:space="preserve"> has 219 primary structures with a total appraisal value of $18,129,847 in high/medium susceptibility areas. Webster County has 214 primary structures with a total appraisal value of $1,795,466 in high/medium susceptibility areas. </w:t>
      </w:r>
      <w:r w:rsidRPr="00CB5ACE">
        <w:rPr>
          <w:b/>
          <w:bCs/>
          <w:color w:val="1F4E79" w:themeColor="accent1" w:themeShade="80"/>
        </w:rPr>
        <w:t xml:space="preserve">Fayette County </w:t>
      </w:r>
      <w:r>
        <w:t xml:space="preserve">ranks 32nd, </w:t>
      </w:r>
      <w:r w:rsidRPr="00CB5ACE">
        <w:rPr>
          <w:b/>
          <w:bCs/>
          <w:color w:val="1F4E79" w:themeColor="accent1" w:themeShade="80"/>
        </w:rPr>
        <w:t xml:space="preserve">Greenbrier </w:t>
      </w:r>
      <w:r>
        <w:t xml:space="preserve">35th, </w:t>
      </w:r>
      <w:r w:rsidRPr="00CB5ACE">
        <w:rPr>
          <w:b/>
          <w:bCs/>
          <w:color w:val="1F4E79" w:themeColor="accent1" w:themeShade="80"/>
        </w:rPr>
        <w:t>Nicholas</w:t>
      </w:r>
      <w:r>
        <w:t xml:space="preserve"> 34th, </w:t>
      </w:r>
      <w:r w:rsidRPr="00CB5ACE">
        <w:rPr>
          <w:b/>
          <w:bCs/>
          <w:color w:val="1F4E79" w:themeColor="accent1" w:themeShade="80"/>
        </w:rPr>
        <w:t>Pocahontas</w:t>
      </w:r>
      <w:r>
        <w:t xml:space="preserve"> 42nd, and </w:t>
      </w:r>
      <w:r w:rsidRPr="00CB5ACE">
        <w:rPr>
          <w:b/>
          <w:bCs/>
          <w:color w:val="1F4E79" w:themeColor="accent1" w:themeShade="80"/>
        </w:rPr>
        <w:t>Webster</w:t>
      </w:r>
      <w:r>
        <w:t xml:space="preserve"> 43rd for total number of at-risk structures in WV counties. For the value of total assets at high or medium risk of landslides, </w:t>
      </w:r>
      <w:r w:rsidRPr="00CB5ACE">
        <w:rPr>
          <w:b/>
          <w:bCs/>
          <w:color w:val="1F4E79" w:themeColor="accent1" w:themeShade="80"/>
        </w:rPr>
        <w:t xml:space="preserve">Fayette County </w:t>
      </w:r>
      <w:r>
        <w:t xml:space="preserve">ranks 23rd, </w:t>
      </w:r>
      <w:r w:rsidRPr="00CB5ACE">
        <w:rPr>
          <w:b/>
          <w:bCs/>
          <w:color w:val="1F4E79" w:themeColor="accent1" w:themeShade="80"/>
        </w:rPr>
        <w:t>Greenbrier</w:t>
      </w:r>
      <w:r>
        <w:t xml:space="preserve"> 6th, </w:t>
      </w:r>
      <w:r w:rsidRPr="00CB5ACE">
        <w:rPr>
          <w:b/>
          <w:bCs/>
          <w:color w:val="1F4E79" w:themeColor="accent1" w:themeShade="80"/>
        </w:rPr>
        <w:t xml:space="preserve">Nicholas </w:t>
      </w:r>
      <w:r>
        <w:t xml:space="preserve">46th, </w:t>
      </w:r>
      <w:r w:rsidRPr="00CB5ACE">
        <w:rPr>
          <w:b/>
          <w:bCs/>
          <w:color w:val="1F4E79" w:themeColor="accent1" w:themeShade="80"/>
        </w:rPr>
        <w:t xml:space="preserve">Pocahontas </w:t>
      </w:r>
      <w:r>
        <w:t xml:space="preserve">21st, and </w:t>
      </w:r>
      <w:r w:rsidRPr="00CB5ACE">
        <w:rPr>
          <w:b/>
          <w:bCs/>
          <w:color w:val="1F4E79" w:themeColor="accent1" w:themeShade="80"/>
        </w:rPr>
        <w:t>Webster</w:t>
      </w:r>
      <w:r>
        <w:t xml:space="preserve"> 51st. </w:t>
      </w:r>
      <w:r w:rsidRPr="00CB5ACE">
        <w:rPr>
          <w:b/>
          <w:bCs/>
          <w:color w:val="1F4E79" w:themeColor="accent1" w:themeShade="80"/>
        </w:rPr>
        <w:t>Fayette</w:t>
      </w:r>
      <w:r>
        <w:t xml:space="preserve">, </w:t>
      </w:r>
      <w:r w:rsidRPr="00CB5ACE">
        <w:rPr>
          <w:b/>
          <w:bCs/>
          <w:color w:val="1F4E79" w:themeColor="accent1" w:themeShade="80"/>
        </w:rPr>
        <w:t>Greenbrier</w:t>
      </w:r>
      <w:r>
        <w:t xml:space="preserve">, and </w:t>
      </w:r>
      <w:r w:rsidRPr="00CB5ACE">
        <w:rPr>
          <w:b/>
          <w:bCs/>
          <w:color w:val="1F4E79" w:themeColor="accent1" w:themeShade="80"/>
        </w:rPr>
        <w:t>Pocahontas</w:t>
      </w:r>
      <w:r>
        <w:t xml:space="preserve"> counties have higher rankings for total asset value at risk than for the total number of structures at risk. This may be due to higher property values in these counties.</w:t>
      </w:r>
    </w:p>
    <w:p w14:paraId="06DD2459" w14:textId="5100C9AB" w:rsidR="00451502" w:rsidRPr="00B46DE2" w:rsidRDefault="00B46DE2" w:rsidP="00424E6D">
      <w:pPr>
        <w:rPr>
          <w:rFonts w:cstheme="minorHAnsi"/>
          <w:b/>
          <w:sz w:val="24"/>
          <w:szCs w:val="24"/>
        </w:rPr>
      </w:pPr>
      <w:bookmarkStart w:id="53" w:name="_Toc114650870"/>
      <w:r w:rsidRPr="00B46DE2">
        <w:rPr>
          <w:rStyle w:val="Heading3Char"/>
          <w:rFonts w:cstheme="minorHAnsi"/>
          <w:sz w:val="24"/>
        </w:rPr>
        <w:t>Landslide Risk Information</w:t>
      </w:r>
      <w:bookmarkEnd w:id="53"/>
      <w:r w:rsidRPr="003F2C07">
        <w:t>:</w:t>
      </w:r>
    </w:p>
    <w:p w14:paraId="51FEB8F6" w14:textId="3F70F3FC" w:rsidR="00451502" w:rsidRDefault="00E6662D" w:rsidP="00424E6D">
      <w:pPr>
        <w:rPr>
          <w:i/>
          <w:iCs/>
        </w:rPr>
      </w:pPr>
      <w:r w:rsidRPr="00E6662D">
        <w:rPr>
          <w:i/>
          <w:iCs/>
        </w:rPr>
        <w:t xml:space="preserve">Community Engagement and Verification: Review Landslide points identified using LiDAR data in the WV Landslide Tool. Add any missing major landslide points in the web application. A photo of the landslide incident can also be uploaded to the Landslide Tool. Review the susceptibility grid in WV Landslide or WV Flood Tool. Report any major discrepancies in high/medium landslide susceptible zones. </w:t>
      </w:r>
    </w:p>
    <w:p w14:paraId="6B4CE2CF" w14:textId="461B76E5" w:rsidR="0087303C" w:rsidRDefault="0087303C">
      <w:pPr>
        <w:rPr>
          <w:b/>
          <w:i/>
          <w:iCs/>
        </w:rPr>
      </w:pPr>
      <w:r>
        <w:rPr>
          <w:b/>
          <w:i/>
          <w:iCs/>
        </w:rPr>
        <w:br w:type="page"/>
      </w:r>
    </w:p>
    <w:p w14:paraId="26ACF95F" w14:textId="77777777" w:rsidR="00CB5ACE" w:rsidRPr="00E6662D" w:rsidRDefault="00CB5ACE" w:rsidP="00424E6D">
      <w:pPr>
        <w:rPr>
          <w:b/>
          <w:i/>
          <w:iCs/>
        </w:rPr>
      </w:pPr>
    </w:p>
    <w:p w14:paraId="1A3646DB" w14:textId="275B18C2" w:rsidR="000F738B" w:rsidRDefault="00712AC3" w:rsidP="000F738B">
      <w:pPr>
        <w:pStyle w:val="Heading1"/>
      </w:pPr>
      <w:bookmarkStart w:id="54" w:name="_Toc114650871"/>
      <w:bookmarkStart w:id="55" w:name="_GoBack"/>
      <w:bookmarkEnd w:id="55"/>
      <w:r>
        <w:t xml:space="preserve">COMMUNITY ENGAGEMENT </w:t>
      </w:r>
      <w:r w:rsidR="00D9569C">
        <w:t>AND DATA VERIFICATION</w:t>
      </w:r>
      <w:bookmarkEnd w:id="54"/>
    </w:p>
    <w:p w14:paraId="2406C567" w14:textId="1D646519" w:rsidR="008A6D30" w:rsidRDefault="008A6D30" w:rsidP="008A6D30"/>
    <w:p w14:paraId="2F873F95" w14:textId="0416AB24" w:rsidR="00504F56" w:rsidRPr="003C7236" w:rsidRDefault="003C7236" w:rsidP="008A6D30">
      <w:pPr>
        <w:rPr>
          <w:i/>
        </w:rPr>
      </w:pPr>
      <w:r w:rsidRPr="003C7236">
        <w:rPr>
          <w:i/>
        </w:rPr>
        <w:t>Verify risk assessment information and determine what</w:t>
      </w:r>
      <w:r w:rsidR="00504F56" w:rsidRPr="003C7236">
        <w:rPr>
          <w:i/>
        </w:rPr>
        <w:t xml:space="preserve"> mitigated actions can be identified</w:t>
      </w:r>
    </w:p>
    <w:p w14:paraId="57D40512" w14:textId="10B8B332" w:rsidR="00504F56" w:rsidRDefault="00504F56" w:rsidP="00033277">
      <w:pPr>
        <w:rPr>
          <w:rStyle w:val="Heading3Char"/>
          <w:rFonts w:cstheme="minorHAnsi"/>
          <w:sz w:val="24"/>
        </w:rPr>
      </w:pPr>
    </w:p>
    <w:p w14:paraId="18BF393E" w14:textId="2C1FEA9C" w:rsidR="003C7236" w:rsidRDefault="003C7236" w:rsidP="00033277">
      <w:pPr>
        <w:rPr>
          <w:rStyle w:val="Heading3Char"/>
          <w:rFonts w:cstheme="minorHAnsi"/>
          <w:sz w:val="24"/>
        </w:rPr>
      </w:pPr>
      <w:bookmarkStart w:id="56" w:name="_Toc114650872"/>
      <w:r>
        <w:rPr>
          <w:rStyle w:val="Heading3Char"/>
          <w:rFonts w:cstheme="minorHAnsi"/>
          <w:sz w:val="24"/>
        </w:rPr>
        <w:t>Risk Assessment Data Verification:</w:t>
      </w:r>
      <w:bookmarkEnd w:id="56"/>
    </w:p>
    <w:p w14:paraId="35F5F483" w14:textId="09F14B27" w:rsidR="003C7236" w:rsidRPr="003C7236" w:rsidRDefault="003C7236" w:rsidP="003C7236">
      <w:r w:rsidRPr="003C7236">
        <w:t>Use Building-Level (BL) Tables to identify Most Vulnerable Structures</w:t>
      </w:r>
      <w:r>
        <w:t>:</w:t>
      </w:r>
    </w:p>
    <w:p w14:paraId="00A25956" w14:textId="77777777" w:rsidR="0078277D" w:rsidRPr="005013FB" w:rsidRDefault="0087303C" w:rsidP="003C7236">
      <w:pPr>
        <w:pStyle w:val="ListParagraph"/>
        <w:numPr>
          <w:ilvl w:val="0"/>
          <w:numId w:val="12"/>
        </w:numPr>
      </w:pPr>
      <w:hyperlink r:id="rId43" w:history="1">
        <w:r w:rsidR="00556780" w:rsidRPr="005013FB">
          <w:rPr>
            <w:rStyle w:val="Hyperlink"/>
            <w:rFonts w:eastAsiaTheme="majorEastAsia" w:cstheme="minorHAnsi"/>
          </w:rPr>
          <w:t>Statewide BLRA</w:t>
        </w:r>
      </w:hyperlink>
      <w:r w:rsidR="00556780" w:rsidRPr="005013FB">
        <w:rPr>
          <w:u w:val="single"/>
        </w:rPr>
        <w:t xml:space="preserve"> (GIS)</w:t>
      </w:r>
    </w:p>
    <w:p w14:paraId="6F49DEFA" w14:textId="77777777" w:rsidR="0078277D" w:rsidRPr="005013FB" w:rsidRDefault="0087303C" w:rsidP="003C7236">
      <w:pPr>
        <w:pStyle w:val="ListParagraph"/>
        <w:numPr>
          <w:ilvl w:val="0"/>
          <w:numId w:val="12"/>
        </w:numPr>
      </w:pPr>
      <w:hyperlink r:id="rId44" w:history="1">
        <w:r w:rsidR="00556780" w:rsidRPr="005013FB">
          <w:rPr>
            <w:rStyle w:val="Hyperlink"/>
            <w:rFonts w:eastAsiaTheme="majorEastAsia" w:cstheme="minorHAnsi"/>
          </w:rPr>
          <w:t xml:space="preserve">BLRA </w:t>
        </w:r>
      </w:hyperlink>
      <w:hyperlink r:id="rId45" w:history="1">
        <w:r w:rsidR="00556780" w:rsidRPr="005013FB">
          <w:rPr>
            <w:rStyle w:val="Hyperlink"/>
            <w:rFonts w:eastAsiaTheme="majorEastAsia" w:cstheme="minorHAnsi"/>
          </w:rPr>
          <w:t xml:space="preserve">County </w:t>
        </w:r>
      </w:hyperlink>
      <w:r w:rsidR="00556780" w:rsidRPr="005013FB">
        <w:rPr>
          <w:u w:val="single"/>
        </w:rPr>
        <w:t>Tables</w:t>
      </w:r>
      <w:r w:rsidR="00556780" w:rsidRPr="005013FB">
        <w:t xml:space="preserve"> organized by region</w:t>
      </w:r>
    </w:p>
    <w:p w14:paraId="7FFC1980" w14:textId="77777777" w:rsidR="0078277D" w:rsidRPr="005013FB" w:rsidRDefault="0087303C" w:rsidP="003C7236">
      <w:pPr>
        <w:pStyle w:val="ListParagraph"/>
        <w:numPr>
          <w:ilvl w:val="0"/>
          <w:numId w:val="12"/>
        </w:numPr>
      </w:pPr>
      <w:hyperlink r:id="rId46" w:history="1">
        <w:r w:rsidR="00556780" w:rsidRPr="005013FB">
          <w:rPr>
            <w:rStyle w:val="Hyperlink"/>
            <w:rFonts w:eastAsiaTheme="majorEastAsia" w:cstheme="minorHAnsi"/>
          </w:rPr>
          <w:t xml:space="preserve">BLRA </w:t>
        </w:r>
      </w:hyperlink>
      <w:hyperlink r:id="rId47" w:history="1">
        <w:r w:rsidR="00556780" w:rsidRPr="005013FB">
          <w:rPr>
            <w:rStyle w:val="Hyperlink"/>
            <w:rFonts w:eastAsiaTheme="majorEastAsia" w:cstheme="minorHAnsi"/>
          </w:rPr>
          <w:t>Data Extract Tables</w:t>
        </w:r>
      </w:hyperlink>
      <w:r w:rsidR="00556780" w:rsidRPr="005013FB">
        <w:t>:  High Building Value, High Damage Loss, High Minus Ratings</w:t>
      </w:r>
    </w:p>
    <w:p w14:paraId="056B3279" w14:textId="77777777" w:rsidR="0078277D" w:rsidRPr="005013FB" w:rsidRDefault="0087303C" w:rsidP="003C7236">
      <w:pPr>
        <w:pStyle w:val="ListParagraph"/>
        <w:numPr>
          <w:ilvl w:val="0"/>
          <w:numId w:val="12"/>
        </w:numPr>
      </w:pPr>
      <w:hyperlink r:id="rId48" w:history="1">
        <w:r w:rsidR="00556780" w:rsidRPr="005013FB">
          <w:rPr>
            <w:rStyle w:val="Hyperlink"/>
            <w:rFonts w:eastAsiaTheme="majorEastAsia" w:cstheme="minorHAnsi"/>
          </w:rPr>
          <w:t>BLRA Statewide Top Lists</w:t>
        </w:r>
      </w:hyperlink>
      <w:r w:rsidR="00556780" w:rsidRPr="005013FB">
        <w:t>:  Building Value, Flood Depth, Damage Loss $, Damage Loss %, Minus Rated, Mitigated Structures</w:t>
      </w:r>
    </w:p>
    <w:p w14:paraId="6DAB21B2" w14:textId="55206095" w:rsidR="003C7236" w:rsidRDefault="003C7236" w:rsidP="00033277">
      <w:pPr>
        <w:rPr>
          <w:rStyle w:val="Heading3Char"/>
          <w:rFonts w:cstheme="minorHAnsi"/>
          <w:sz w:val="24"/>
        </w:rPr>
      </w:pPr>
    </w:p>
    <w:p w14:paraId="1FF7FA81" w14:textId="77777777" w:rsidR="003C7236" w:rsidRPr="00D9569C" w:rsidRDefault="003C7236" w:rsidP="003C7236">
      <w:pPr>
        <w:rPr>
          <w:rFonts w:eastAsiaTheme="majorEastAsia" w:cstheme="minorHAnsi"/>
        </w:rPr>
      </w:pPr>
      <w:r w:rsidRPr="00D9569C">
        <w:rPr>
          <w:rFonts w:eastAsiaTheme="majorEastAsia" w:cstheme="minorHAnsi"/>
        </w:rPr>
        <w:t xml:space="preserve">Use </w:t>
      </w:r>
      <w:r w:rsidRPr="00D9569C">
        <w:rPr>
          <w:rFonts w:eastAsiaTheme="majorEastAsia" w:cstheme="minorHAnsi"/>
          <w:bCs/>
        </w:rPr>
        <w:t xml:space="preserve">Community-Level (CL) Tables </w:t>
      </w:r>
      <w:r w:rsidRPr="00D9569C">
        <w:rPr>
          <w:rFonts w:eastAsiaTheme="majorEastAsia" w:cstheme="minorHAnsi"/>
        </w:rPr>
        <w:t xml:space="preserve">to supplement FEMA’s Jurisdictional Flood Risk Dashboards. Refer to the </w:t>
      </w:r>
      <w:hyperlink r:id="rId49" w:history="1">
        <w:r w:rsidRPr="00D9569C">
          <w:rPr>
            <w:rStyle w:val="Hyperlink"/>
            <w:rFonts w:eastAsiaTheme="majorEastAsia" w:cstheme="minorHAnsi"/>
          </w:rPr>
          <w:t>Risk Matrices</w:t>
        </w:r>
      </w:hyperlink>
      <w:r w:rsidRPr="00D9569C">
        <w:rPr>
          <w:rFonts w:eastAsiaTheme="majorEastAsia" w:cstheme="minorHAnsi"/>
        </w:rPr>
        <w:t xml:space="preserve"> EXPSOSURE and DAMAGE LOSS to develop community risk profiles</w:t>
      </w:r>
    </w:p>
    <w:p w14:paraId="1CA44DDC" w14:textId="3EEB6988" w:rsidR="003C7236" w:rsidRPr="003C7236" w:rsidRDefault="003C7236" w:rsidP="003C7236">
      <w:pPr>
        <w:rPr>
          <w:rFonts w:eastAsiaTheme="majorEastAsia" w:cstheme="minorHAnsi"/>
          <w:b/>
        </w:rPr>
      </w:pPr>
    </w:p>
    <w:p w14:paraId="62D71FA3" w14:textId="7FCECF43" w:rsidR="00033277" w:rsidRPr="00B46DE2" w:rsidRDefault="00033277" w:rsidP="00033277">
      <w:pPr>
        <w:rPr>
          <w:rFonts w:cstheme="minorHAnsi"/>
          <w:bCs/>
          <w:sz w:val="24"/>
          <w:szCs w:val="24"/>
        </w:rPr>
      </w:pPr>
      <w:bookmarkStart w:id="57" w:name="_Toc114650873"/>
      <w:r>
        <w:rPr>
          <w:rStyle w:val="Heading3Char"/>
          <w:rFonts w:cstheme="minorHAnsi"/>
          <w:sz w:val="24"/>
        </w:rPr>
        <w:t>Risk Assessment</w:t>
      </w:r>
      <w:r w:rsidR="0087303C">
        <w:rPr>
          <w:rStyle w:val="Heading3Char"/>
          <w:rFonts w:cstheme="minorHAnsi"/>
          <w:sz w:val="24"/>
        </w:rPr>
        <w:t>s</w:t>
      </w:r>
      <w:bookmarkEnd w:id="57"/>
      <w:r w:rsidRPr="003F2C07">
        <w:t>:</w:t>
      </w:r>
    </w:p>
    <w:p w14:paraId="32CFD05E" w14:textId="78BDEA13" w:rsidR="008A6D30" w:rsidRDefault="00D9569C" w:rsidP="008A6D30">
      <w:r>
        <w:rPr>
          <w:noProof/>
        </w:rPr>
        <w:lastRenderedPageBreak/>
        <w:drawing>
          <wp:inline distT="0" distB="0" distL="0" distR="0" wp14:anchorId="28C9C2AE" wp14:editId="2FA21ABA">
            <wp:extent cx="5943600" cy="449262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4492625"/>
                    </a:xfrm>
                    <a:prstGeom prst="rect">
                      <a:avLst/>
                    </a:prstGeom>
                  </pic:spPr>
                </pic:pic>
              </a:graphicData>
            </a:graphic>
          </wp:inline>
        </w:drawing>
      </w:r>
    </w:p>
    <w:p w14:paraId="697978B8" w14:textId="77777777" w:rsidR="008A6D30" w:rsidRDefault="008A6D30" w:rsidP="008A6D30"/>
    <w:sectPr w:rsidR="008A6D30" w:rsidSect="00656CBF">
      <w:footerReference w:type="first" r:id="rId51"/>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07F740" w14:textId="77777777" w:rsidR="002C79BD" w:rsidRDefault="002C79BD" w:rsidP="00EA170C">
      <w:pPr>
        <w:spacing w:after="0" w:line="240" w:lineRule="auto"/>
      </w:pPr>
      <w:r>
        <w:separator/>
      </w:r>
    </w:p>
  </w:endnote>
  <w:endnote w:type="continuationSeparator" w:id="0">
    <w:p w14:paraId="494BFA8A" w14:textId="77777777" w:rsidR="002C79BD" w:rsidRDefault="002C79BD" w:rsidP="00EA1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3170701"/>
      <w:docPartObj>
        <w:docPartGallery w:val="Page Numbers (Bottom of Page)"/>
        <w:docPartUnique/>
      </w:docPartObj>
    </w:sdtPr>
    <w:sdtEndPr>
      <w:rPr>
        <w:noProof/>
      </w:rPr>
    </w:sdtEndPr>
    <w:sdtContent>
      <w:p w14:paraId="11791CC7" w14:textId="59A709F1" w:rsidR="005013FB" w:rsidRDefault="005013FB">
        <w:pPr>
          <w:pStyle w:val="Footer"/>
          <w:jc w:val="right"/>
        </w:pPr>
        <w:r>
          <w:fldChar w:fldCharType="begin"/>
        </w:r>
        <w:r>
          <w:instrText xml:space="preserve"> PAGE   \* MERGEFORMAT </w:instrText>
        </w:r>
        <w:r>
          <w:fldChar w:fldCharType="separate"/>
        </w:r>
        <w:r w:rsidR="0087303C">
          <w:rPr>
            <w:noProof/>
          </w:rPr>
          <w:t>22</w:t>
        </w:r>
        <w:r>
          <w:rPr>
            <w:noProof/>
          </w:rPr>
          <w:fldChar w:fldCharType="end"/>
        </w:r>
      </w:p>
    </w:sdtContent>
  </w:sdt>
  <w:p w14:paraId="4CD921FB" w14:textId="77777777" w:rsidR="005013FB" w:rsidRDefault="005013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F429E" w14:textId="02A48D06" w:rsidR="005013FB" w:rsidRDefault="005013FB">
    <w:pPr>
      <w:pStyle w:val="Footer"/>
      <w:jc w:val="right"/>
    </w:pPr>
  </w:p>
  <w:p w14:paraId="42B568DE" w14:textId="77777777" w:rsidR="005013FB" w:rsidRDefault="005013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2164887"/>
      <w:docPartObj>
        <w:docPartGallery w:val="Page Numbers (Bottom of Page)"/>
        <w:docPartUnique/>
      </w:docPartObj>
    </w:sdtPr>
    <w:sdtEndPr>
      <w:rPr>
        <w:noProof/>
      </w:rPr>
    </w:sdtEndPr>
    <w:sdtContent>
      <w:p w14:paraId="1944DCEE" w14:textId="360D392C" w:rsidR="005013FB" w:rsidRDefault="005013FB">
        <w:pPr>
          <w:pStyle w:val="Footer"/>
          <w:jc w:val="right"/>
        </w:pPr>
        <w:r>
          <w:fldChar w:fldCharType="begin"/>
        </w:r>
        <w:r>
          <w:instrText xml:space="preserve"> PAGE   \* MERGEFORMAT </w:instrText>
        </w:r>
        <w:r>
          <w:fldChar w:fldCharType="separate"/>
        </w:r>
        <w:r w:rsidR="0087303C">
          <w:rPr>
            <w:noProof/>
          </w:rPr>
          <w:t>1</w:t>
        </w:r>
        <w:r>
          <w:rPr>
            <w:noProof/>
          </w:rPr>
          <w:fldChar w:fldCharType="end"/>
        </w:r>
      </w:p>
    </w:sdtContent>
  </w:sdt>
  <w:p w14:paraId="07A4761B" w14:textId="77777777" w:rsidR="005013FB" w:rsidRDefault="005013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C669DEF" w14:textId="77777777" w:rsidR="002C79BD" w:rsidRDefault="002C79BD" w:rsidP="00EA170C">
      <w:pPr>
        <w:spacing w:after="0" w:line="240" w:lineRule="auto"/>
      </w:pPr>
      <w:r>
        <w:separator/>
      </w:r>
    </w:p>
  </w:footnote>
  <w:footnote w:type="continuationSeparator" w:id="0">
    <w:p w14:paraId="73823558" w14:textId="77777777" w:rsidR="002C79BD" w:rsidRDefault="002C79BD" w:rsidP="00EA17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4242E"/>
    <w:multiLevelType w:val="hybridMultilevel"/>
    <w:tmpl w:val="6422E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7F2F6D"/>
    <w:multiLevelType w:val="hybridMultilevel"/>
    <w:tmpl w:val="40E62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A2A86"/>
    <w:multiLevelType w:val="hybridMultilevel"/>
    <w:tmpl w:val="22124D28"/>
    <w:lvl w:ilvl="0" w:tplc="5D90D43A">
      <w:start w:val="1"/>
      <w:numFmt w:val="bullet"/>
      <w:lvlText w:val="•"/>
      <w:lvlJc w:val="left"/>
      <w:pPr>
        <w:tabs>
          <w:tab w:val="num" w:pos="720"/>
        </w:tabs>
        <w:ind w:left="720" w:hanging="360"/>
      </w:pPr>
      <w:rPr>
        <w:rFonts w:ascii="Arial" w:hAnsi="Arial" w:hint="default"/>
      </w:rPr>
    </w:lvl>
    <w:lvl w:ilvl="1" w:tplc="4ECA0C26" w:tentative="1">
      <w:start w:val="1"/>
      <w:numFmt w:val="bullet"/>
      <w:lvlText w:val="•"/>
      <w:lvlJc w:val="left"/>
      <w:pPr>
        <w:tabs>
          <w:tab w:val="num" w:pos="1440"/>
        </w:tabs>
        <w:ind w:left="1440" w:hanging="360"/>
      </w:pPr>
      <w:rPr>
        <w:rFonts w:ascii="Arial" w:hAnsi="Arial" w:hint="default"/>
      </w:rPr>
    </w:lvl>
    <w:lvl w:ilvl="2" w:tplc="90C202D8" w:tentative="1">
      <w:start w:val="1"/>
      <w:numFmt w:val="bullet"/>
      <w:lvlText w:val="•"/>
      <w:lvlJc w:val="left"/>
      <w:pPr>
        <w:tabs>
          <w:tab w:val="num" w:pos="2160"/>
        </w:tabs>
        <w:ind w:left="2160" w:hanging="360"/>
      </w:pPr>
      <w:rPr>
        <w:rFonts w:ascii="Arial" w:hAnsi="Arial" w:hint="default"/>
      </w:rPr>
    </w:lvl>
    <w:lvl w:ilvl="3" w:tplc="6052AAB4" w:tentative="1">
      <w:start w:val="1"/>
      <w:numFmt w:val="bullet"/>
      <w:lvlText w:val="•"/>
      <w:lvlJc w:val="left"/>
      <w:pPr>
        <w:tabs>
          <w:tab w:val="num" w:pos="2880"/>
        </w:tabs>
        <w:ind w:left="2880" w:hanging="360"/>
      </w:pPr>
      <w:rPr>
        <w:rFonts w:ascii="Arial" w:hAnsi="Arial" w:hint="default"/>
      </w:rPr>
    </w:lvl>
    <w:lvl w:ilvl="4" w:tplc="323456CA" w:tentative="1">
      <w:start w:val="1"/>
      <w:numFmt w:val="bullet"/>
      <w:lvlText w:val="•"/>
      <w:lvlJc w:val="left"/>
      <w:pPr>
        <w:tabs>
          <w:tab w:val="num" w:pos="3600"/>
        </w:tabs>
        <w:ind w:left="3600" w:hanging="360"/>
      </w:pPr>
      <w:rPr>
        <w:rFonts w:ascii="Arial" w:hAnsi="Arial" w:hint="default"/>
      </w:rPr>
    </w:lvl>
    <w:lvl w:ilvl="5" w:tplc="EB049D50" w:tentative="1">
      <w:start w:val="1"/>
      <w:numFmt w:val="bullet"/>
      <w:lvlText w:val="•"/>
      <w:lvlJc w:val="left"/>
      <w:pPr>
        <w:tabs>
          <w:tab w:val="num" w:pos="4320"/>
        </w:tabs>
        <w:ind w:left="4320" w:hanging="360"/>
      </w:pPr>
      <w:rPr>
        <w:rFonts w:ascii="Arial" w:hAnsi="Arial" w:hint="default"/>
      </w:rPr>
    </w:lvl>
    <w:lvl w:ilvl="6" w:tplc="A0BAABDA" w:tentative="1">
      <w:start w:val="1"/>
      <w:numFmt w:val="bullet"/>
      <w:lvlText w:val="•"/>
      <w:lvlJc w:val="left"/>
      <w:pPr>
        <w:tabs>
          <w:tab w:val="num" w:pos="5040"/>
        </w:tabs>
        <w:ind w:left="5040" w:hanging="360"/>
      </w:pPr>
      <w:rPr>
        <w:rFonts w:ascii="Arial" w:hAnsi="Arial" w:hint="default"/>
      </w:rPr>
    </w:lvl>
    <w:lvl w:ilvl="7" w:tplc="6EF65F2C" w:tentative="1">
      <w:start w:val="1"/>
      <w:numFmt w:val="bullet"/>
      <w:lvlText w:val="•"/>
      <w:lvlJc w:val="left"/>
      <w:pPr>
        <w:tabs>
          <w:tab w:val="num" w:pos="5760"/>
        </w:tabs>
        <w:ind w:left="5760" w:hanging="360"/>
      </w:pPr>
      <w:rPr>
        <w:rFonts w:ascii="Arial" w:hAnsi="Arial" w:hint="default"/>
      </w:rPr>
    </w:lvl>
    <w:lvl w:ilvl="8" w:tplc="AE00CA6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B5D1F30"/>
    <w:multiLevelType w:val="hybridMultilevel"/>
    <w:tmpl w:val="45B0F9A0"/>
    <w:lvl w:ilvl="0" w:tplc="01266564">
      <w:start w:val="1"/>
      <w:numFmt w:val="bullet"/>
      <w:lvlText w:val=""/>
      <w:lvlJc w:val="left"/>
      <w:pPr>
        <w:tabs>
          <w:tab w:val="num" w:pos="720"/>
        </w:tabs>
        <w:ind w:left="720" w:hanging="360"/>
      </w:pPr>
      <w:rPr>
        <w:rFonts w:ascii="Symbol" w:hAnsi="Symbol" w:hint="default"/>
      </w:rPr>
    </w:lvl>
    <w:lvl w:ilvl="1" w:tplc="48CE6E54" w:tentative="1">
      <w:start w:val="1"/>
      <w:numFmt w:val="bullet"/>
      <w:lvlText w:val=""/>
      <w:lvlJc w:val="left"/>
      <w:pPr>
        <w:tabs>
          <w:tab w:val="num" w:pos="1440"/>
        </w:tabs>
        <w:ind w:left="1440" w:hanging="360"/>
      </w:pPr>
      <w:rPr>
        <w:rFonts w:ascii="Symbol" w:hAnsi="Symbol" w:hint="default"/>
      </w:rPr>
    </w:lvl>
    <w:lvl w:ilvl="2" w:tplc="F4F88E4C" w:tentative="1">
      <w:start w:val="1"/>
      <w:numFmt w:val="bullet"/>
      <w:lvlText w:val=""/>
      <w:lvlJc w:val="left"/>
      <w:pPr>
        <w:tabs>
          <w:tab w:val="num" w:pos="2160"/>
        </w:tabs>
        <w:ind w:left="2160" w:hanging="360"/>
      </w:pPr>
      <w:rPr>
        <w:rFonts w:ascii="Symbol" w:hAnsi="Symbol" w:hint="default"/>
      </w:rPr>
    </w:lvl>
    <w:lvl w:ilvl="3" w:tplc="750A5DC8" w:tentative="1">
      <w:start w:val="1"/>
      <w:numFmt w:val="bullet"/>
      <w:lvlText w:val=""/>
      <w:lvlJc w:val="left"/>
      <w:pPr>
        <w:tabs>
          <w:tab w:val="num" w:pos="2880"/>
        </w:tabs>
        <w:ind w:left="2880" w:hanging="360"/>
      </w:pPr>
      <w:rPr>
        <w:rFonts w:ascii="Symbol" w:hAnsi="Symbol" w:hint="default"/>
      </w:rPr>
    </w:lvl>
    <w:lvl w:ilvl="4" w:tplc="57CEDA54" w:tentative="1">
      <w:start w:val="1"/>
      <w:numFmt w:val="bullet"/>
      <w:lvlText w:val=""/>
      <w:lvlJc w:val="left"/>
      <w:pPr>
        <w:tabs>
          <w:tab w:val="num" w:pos="3600"/>
        </w:tabs>
        <w:ind w:left="3600" w:hanging="360"/>
      </w:pPr>
      <w:rPr>
        <w:rFonts w:ascii="Symbol" w:hAnsi="Symbol" w:hint="default"/>
      </w:rPr>
    </w:lvl>
    <w:lvl w:ilvl="5" w:tplc="4D1478F2" w:tentative="1">
      <w:start w:val="1"/>
      <w:numFmt w:val="bullet"/>
      <w:lvlText w:val=""/>
      <w:lvlJc w:val="left"/>
      <w:pPr>
        <w:tabs>
          <w:tab w:val="num" w:pos="4320"/>
        </w:tabs>
        <w:ind w:left="4320" w:hanging="360"/>
      </w:pPr>
      <w:rPr>
        <w:rFonts w:ascii="Symbol" w:hAnsi="Symbol" w:hint="default"/>
      </w:rPr>
    </w:lvl>
    <w:lvl w:ilvl="6" w:tplc="7304E95C" w:tentative="1">
      <w:start w:val="1"/>
      <w:numFmt w:val="bullet"/>
      <w:lvlText w:val=""/>
      <w:lvlJc w:val="left"/>
      <w:pPr>
        <w:tabs>
          <w:tab w:val="num" w:pos="5040"/>
        </w:tabs>
        <w:ind w:left="5040" w:hanging="360"/>
      </w:pPr>
      <w:rPr>
        <w:rFonts w:ascii="Symbol" w:hAnsi="Symbol" w:hint="default"/>
      </w:rPr>
    </w:lvl>
    <w:lvl w:ilvl="7" w:tplc="11400176" w:tentative="1">
      <w:start w:val="1"/>
      <w:numFmt w:val="bullet"/>
      <w:lvlText w:val=""/>
      <w:lvlJc w:val="left"/>
      <w:pPr>
        <w:tabs>
          <w:tab w:val="num" w:pos="5760"/>
        </w:tabs>
        <w:ind w:left="5760" w:hanging="360"/>
      </w:pPr>
      <w:rPr>
        <w:rFonts w:ascii="Symbol" w:hAnsi="Symbol" w:hint="default"/>
      </w:rPr>
    </w:lvl>
    <w:lvl w:ilvl="8" w:tplc="4D8ED27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7CE4E77"/>
    <w:multiLevelType w:val="hybridMultilevel"/>
    <w:tmpl w:val="CEBE0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A402B7"/>
    <w:multiLevelType w:val="hybridMultilevel"/>
    <w:tmpl w:val="9288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9E1779"/>
    <w:multiLevelType w:val="hybridMultilevel"/>
    <w:tmpl w:val="E8DE245E"/>
    <w:lvl w:ilvl="0" w:tplc="B18AB01C">
      <w:start w:val="1"/>
      <w:numFmt w:val="bullet"/>
      <w:lvlText w:val=""/>
      <w:lvlJc w:val="left"/>
      <w:pPr>
        <w:ind w:left="720" w:hanging="360"/>
      </w:pPr>
      <w:rPr>
        <w:rFonts w:ascii="Symbol" w:hAnsi="Symbol" w:hint="default"/>
        <w:b/>
        <w:bCs/>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207CBD"/>
    <w:multiLevelType w:val="multilevel"/>
    <w:tmpl w:val="877ADCA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52CB7A40"/>
    <w:multiLevelType w:val="hybridMultilevel"/>
    <w:tmpl w:val="5A668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F04C6F"/>
    <w:multiLevelType w:val="hybridMultilevel"/>
    <w:tmpl w:val="E320C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60013B"/>
    <w:multiLevelType w:val="hybridMultilevel"/>
    <w:tmpl w:val="DB20E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3A018E"/>
    <w:multiLevelType w:val="hybridMultilevel"/>
    <w:tmpl w:val="B62C2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0"/>
  </w:num>
  <w:num w:numId="5">
    <w:abstractNumId w:val="5"/>
  </w:num>
  <w:num w:numId="6">
    <w:abstractNumId w:val="8"/>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10"/>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6D30"/>
    <w:rsid w:val="000203A5"/>
    <w:rsid w:val="00024221"/>
    <w:rsid w:val="00033277"/>
    <w:rsid w:val="000450E8"/>
    <w:rsid w:val="00071CB2"/>
    <w:rsid w:val="000843FD"/>
    <w:rsid w:val="00085430"/>
    <w:rsid w:val="000A253F"/>
    <w:rsid w:val="000B3174"/>
    <w:rsid w:val="000C24C1"/>
    <w:rsid w:val="000C2BC5"/>
    <w:rsid w:val="000D0B5B"/>
    <w:rsid w:val="000F360D"/>
    <w:rsid w:val="000F59E5"/>
    <w:rsid w:val="000F738B"/>
    <w:rsid w:val="00113C93"/>
    <w:rsid w:val="00130B35"/>
    <w:rsid w:val="001359D8"/>
    <w:rsid w:val="001A0F6C"/>
    <w:rsid w:val="001A11B3"/>
    <w:rsid w:val="001A39A1"/>
    <w:rsid w:val="001A3AD5"/>
    <w:rsid w:val="001B2B53"/>
    <w:rsid w:val="001C1A03"/>
    <w:rsid w:val="001C1CF7"/>
    <w:rsid w:val="001C3437"/>
    <w:rsid w:val="001D69A0"/>
    <w:rsid w:val="001D70A1"/>
    <w:rsid w:val="001E61C4"/>
    <w:rsid w:val="00215789"/>
    <w:rsid w:val="0022677B"/>
    <w:rsid w:val="00251C38"/>
    <w:rsid w:val="0026682C"/>
    <w:rsid w:val="00274736"/>
    <w:rsid w:val="00276C30"/>
    <w:rsid w:val="002C79BD"/>
    <w:rsid w:val="002D3672"/>
    <w:rsid w:val="002E0167"/>
    <w:rsid w:val="00304A20"/>
    <w:rsid w:val="0032506F"/>
    <w:rsid w:val="003418CE"/>
    <w:rsid w:val="003453FB"/>
    <w:rsid w:val="00385ED1"/>
    <w:rsid w:val="00391335"/>
    <w:rsid w:val="003B2D56"/>
    <w:rsid w:val="003C1374"/>
    <w:rsid w:val="003C13E9"/>
    <w:rsid w:val="003C2F1B"/>
    <w:rsid w:val="003C57A2"/>
    <w:rsid w:val="003C7236"/>
    <w:rsid w:val="003C74DE"/>
    <w:rsid w:val="003D5BFF"/>
    <w:rsid w:val="003E3174"/>
    <w:rsid w:val="003F2C07"/>
    <w:rsid w:val="00404DE6"/>
    <w:rsid w:val="00421178"/>
    <w:rsid w:val="00422B7A"/>
    <w:rsid w:val="00424E6D"/>
    <w:rsid w:val="00432C2B"/>
    <w:rsid w:val="00451502"/>
    <w:rsid w:val="004727B1"/>
    <w:rsid w:val="00497AEA"/>
    <w:rsid w:val="004A24BB"/>
    <w:rsid w:val="004A48BA"/>
    <w:rsid w:val="004B333A"/>
    <w:rsid w:val="005013FB"/>
    <w:rsid w:val="00504F56"/>
    <w:rsid w:val="005337EC"/>
    <w:rsid w:val="00535A91"/>
    <w:rsid w:val="00535DE4"/>
    <w:rsid w:val="00555E2E"/>
    <w:rsid w:val="00556780"/>
    <w:rsid w:val="00561795"/>
    <w:rsid w:val="005B043B"/>
    <w:rsid w:val="005B1090"/>
    <w:rsid w:val="005F79EE"/>
    <w:rsid w:val="00602443"/>
    <w:rsid w:val="00636515"/>
    <w:rsid w:val="006371B1"/>
    <w:rsid w:val="0064315E"/>
    <w:rsid w:val="00645DB8"/>
    <w:rsid w:val="00656CBF"/>
    <w:rsid w:val="00670A20"/>
    <w:rsid w:val="006A66B2"/>
    <w:rsid w:val="006B7815"/>
    <w:rsid w:val="006C429C"/>
    <w:rsid w:val="006C46BC"/>
    <w:rsid w:val="0070155B"/>
    <w:rsid w:val="0070536B"/>
    <w:rsid w:val="00712AC3"/>
    <w:rsid w:val="00716087"/>
    <w:rsid w:val="00725CAD"/>
    <w:rsid w:val="00726B08"/>
    <w:rsid w:val="00737CAA"/>
    <w:rsid w:val="00741E7C"/>
    <w:rsid w:val="00752E6C"/>
    <w:rsid w:val="00760F6E"/>
    <w:rsid w:val="00776FF9"/>
    <w:rsid w:val="0078277D"/>
    <w:rsid w:val="007956C4"/>
    <w:rsid w:val="00796DC2"/>
    <w:rsid w:val="007B5037"/>
    <w:rsid w:val="007E275D"/>
    <w:rsid w:val="007E5137"/>
    <w:rsid w:val="00800E26"/>
    <w:rsid w:val="008013A9"/>
    <w:rsid w:val="00826B38"/>
    <w:rsid w:val="008310D6"/>
    <w:rsid w:val="0087303C"/>
    <w:rsid w:val="00873874"/>
    <w:rsid w:val="00886233"/>
    <w:rsid w:val="00887407"/>
    <w:rsid w:val="008935E2"/>
    <w:rsid w:val="008A1634"/>
    <w:rsid w:val="008A6D30"/>
    <w:rsid w:val="00936A7D"/>
    <w:rsid w:val="00936E23"/>
    <w:rsid w:val="009D68F8"/>
    <w:rsid w:val="009D7A4C"/>
    <w:rsid w:val="009F1A85"/>
    <w:rsid w:val="00A26F93"/>
    <w:rsid w:val="00A45F08"/>
    <w:rsid w:val="00A606FB"/>
    <w:rsid w:val="00A64C28"/>
    <w:rsid w:val="00A769E5"/>
    <w:rsid w:val="00A774AD"/>
    <w:rsid w:val="00AE7456"/>
    <w:rsid w:val="00AF285D"/>
    <w:rsid w:val="00AF470F"/>
    <w:rsid w:val="00B04E3F"/>
    <w:rsid w:val="00B2775A"/>
    <w:rsid w:val="00B31971"/>
    <w:rsid w:val="00B45E63"/>
    <w:rsid w:val="00B46DE2"/>
    <w:rsid w:val="00B67786"/>
    <w:rsid w:val="00B71BA6"/>
    <w:rsid w:val="00B74470"/>
    <w:rsid w:val="00BA0B02"/>
    <w:rsid w:val="00BC0918"/>
    <w:rsid w:val="00BC2228"/>
    <w:rsid w:val="00BE0797"/>
    <w:rsid w:val="00BF77FC"/>
    <w:rsid w:val="00C000AB"/>
    <w:rsid w:val="00C17C8F"/>
    <w:rsid w:val="00C216AB"/>
    <w:rsid w:val="00C45BEB"/>
    <w:rsid w:val="00C73336"/>
    <w:rsid w:val="00C87778"/>
    <w:rsid w:val="00C95CAF"/>
    <w:rsid w:val="00CA72C6"/>
    <w:rsid w:val="00CB5ACE"/>
    <w:rsid w:val="00CC067E"/>
    <w:rsid w:val="00CD3B17"/>
    <w:rsid w:val="00CD6ABB"/>
    <w:rsid w:val="00D11A62"/>
    <w:rsid w:val="00D27477"/>
    <w:rsid w:val="00D524C8"/>
    <w:rsid w:val="00D527F2"/>
    <w:rsid w:val="00D65F56"/>
    <w:rsid w:val="00D70FE2"/>
    <w:rsid w:val="00D72C70"/>
    <w:rsid w:val="00D74E3E"/>
    <w:rsid w:val="00D9569C"/>
    <w:rsid w:val="00DA0A1E"/>
    <w:rsid w:val="00DA58BB"/>
    <w:rsid w:val="00DC4035"/>
    <w:rsid w:val="00E342C3"/>
    <w:rsid w:val="00E3475B"/>
    <w:rsid w:val="00E37D01"/>
    <w:rsid w:val="00E43E64"/>
    <w:rsid w:val="00E43FEE"/>
    <w:rsid w:val="00E642F8"/>
    <w:rsid w:val="00E6662D"/>
    <w:rsid w:val="00E713D2"/>
    <w:rsid w:val="00E825A0"/>
    <w:rsid w:val="00E9667C"/>
    <w:rsid w:val="00EA170C"/>
    <w:rsid w:val="00EB161E"/>
    <w:rsid w:val="00EB7AF9"/>
    <w:rsid w:val="00EC21BC"/>
    <w:rsid w:val="00EC27CB"/>
    <w:rsid w:val="00EF049F"/>
    <w:rsid w:val="00F24EF5"/>
    <w:rsid w:val="00F451C0"/>
    <w:rsid w:val="00F7624A"/>
    <w:rsid w:val="00FA2147"/>
    <w:rsid w:val="00FB6673"/>
    <w:rsid w:val="00FC1787"/>
    <w:rsid w:val="00FD1165"/>
    <w:rsid w:val="00FE6FFC"/>
    <w:rsid w:val="00FF07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FCCB41F"/>
  <w15:chartTrackingRefBased/>
  <w15:docId w15:val="{75AE14A2-1AD2-40A3-BD49-4006C2559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65F56"/>
    <w:pPr>
      <w:keepNext/>
      <w:keepLines/>
      <w:pBdr>
        <w:top w:val="single" w:sz="4" w:space="1" w:color="auto"/>
        <w:left w:val="single" w:sz="4" w:space="4" w:color="auto"/>
        <w:bottom w:val="single" w:sz="4" w:space="1" w:color="auto"/>
        <w:right w:val="single" w:sz="4" w:space="4" w:color="auto"/>
      </w:pBdr>
      <w:spacing w:before="240" w:after="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5B1090"/>
    <w:pPr>
      <w:keepNext/>
      <w:keepLines/>
      <w:spacing w:before="40" w:after="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qFormat/>
    <w:rsid w:val="00CC067E"/>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A6D30"/>
    <w:rPr>
      <w:color w:val="0563C1" w:themeColor="hyperlink"/>
      <w:u w:val="single"/>
    </w:rPr>
  </w:style>
  <w:style w:type="paragraph" w:styleId="ListParagraph">
    <w:name w:val="List Paragraph"/>
    <w:basedOn w:val="Normal"/>
    <w:uiPriority w:val="34"/>
    <w:qFormat/>
    <w:rsid w:val="008A6D30"/>
    <w:pPr>
      <w:ind w:left="720"/>
      <w:contextualSpacing/>
    </w:pPr>
  </w:style>
  <w:style w:type="paragraph" w:styleId="NormalWeb">
    <w:name w:val="Normal (Web)"/>
    <w:basedOn w:val="Normal"/>
    <w:uiPriority w:val="99"/>
    <w:semiHidden/>
    <w:unhideWhenUsed/>
    <w:rsid w:val="008A6D3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D65F56"/>
    <w:rPr>
      <w:rFonts w:eastAsiaTheme="majorEastAsia" w:cstheme="majorBidi"/>
      <w:b/>
      <w:sz w:val="32"/>
      <w:szCs w:val="32"/>
    </w:rPr>
  </w:style>
  <w:style w:type="character" w:customStyle="1" w:styleId="Heading2Char">
    <w:name w:val="Heading 2 Char"/>
    <w:basedOn w:val="DefaultParagraphFont"/>
    <w:link w:val="Heading2"/>
    <w:uiPriority w:val="9"/>
    <w:rsid w:val="005B1090"/>
    <w:rPr>
      <w:rFonts w:asciiTheme="majorHAnsi" w:eastAsiaTheme="majorEastAsia" w:hAnsiTheme="majorHAnsi" w:cstheme="majorBidi"/>
      <w:b/>
      <w:sz w:val="28"/>
      <w:szCs w:val="26"/>
    </w:rPr>
  </w:style>
  <w:style w:type="character" w:customStyle="1" w:styleId="Heading3Char">
    <w:name w:val="Heading 3 Char"/>
    <w:basedOn w:val="DefaultParagraphFont"/>
    <w:link w:val="Heading3"/>
    <w:uiPriority w:val="9"/>
    <w:rsid w:val="00CC067E"/>
    <w:rPr>
      <w:rFonts w:eastAsiaTheme="majorEastAsia" w:cstheme="majorBidi"/>
      <w:b/>
      <w:szCs w:val="24"/>
    </w:rPr>
  </w:style>
  <w:style w:type="paragraph" w:styleId="TOCHeading">
    <w:name w:val="TOC Heading"/>
    <w:basedOn w:val="Heading1"/>
    <w:next w:val="Normal"/>
    <w:uiPriority w:val="39"/>
    <w:unhideWhenUsed/>
    <w:qFormat/>
    <w:rsid w:val="00E9667C"/>
    <w:pPr>
      <w:pBdr>
        <w:top w:val="none" w:sz="0" w:space="0" w:color="auto"/>
        <w:left w:val="none" w:sz="0" w:space="0" w:color="auto"/>
        <w:bottom w:val="none" w:sz="0" w:space="0" w:color="auto"/>
        <w:right w:val="none" w:sz="0" w:space="0" w:color="auto"/>
      </w:pBd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9667C"/>
    <w:pPr>
      <w:spacing w:after="100"/>
    </w:pPr>
  </w:style>
  <w:style w:type="paragraph" w:styleId="TOC2">
    <w:name w:val="toc 2"/>
    <w:basedOn w:val="Normal"/>
    <w:next w:val="Normal"/>
    <w:autoRedefine/>
    <w:uiPriority w:val="39"/>
    <w:unhideWhenUsed/>
    <w:rsid w:val="00E9667C"/>
    <w:pPr>
      <w:spacing w:after="100"/>
      <w:ind w:left="220"/>
    </w:pPr>
  </w:style>
  <w:style w:type="paragraph" w:styleId="TOC3">
    <w:name w:val="toc 3"/>
    <w:basedOn w:val="Normal"/>
    <w:next w:val="Normal"/>
    <w:autoRedefine/>
    <w:uiPriority w:val="39"/>
    <w:unhideWhenUsed/>
    <w:rsid w:val="00E9667C"/>
    <w:pPr>
      <w:spacing w:after="100"/>
      <w:ind w:left="440"/>
    </w:pPr>
  </w:style>
  <w:style w:type="paragraph" w:styleId="Header">
    <w:name w:val="header"/>
    <w:basedOn w:val="Normal"/>
    <w:link w:val="HeaderChar"/>
    <w:uiPriority w:val="99"/>
    <w:unhideWhenUsed/>
    <w:rsid w:val="00EA1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170C"/>
  </w:style>
  <w:style w:type="paragraph" w:styleId="Footer">
    <w:name w:val="footer"/>
    <w:basedOn w:val="Normal"/>
    <w:link w:val="FooterChar"/>
    <w:uiPriority w:val="99"/>
    <w:unhideWhenUsed/>
    <w:rsid w:val="00EA1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170C"/>
  </w:style>
  <w:style w:type="character" w:styleId="CommentReference">
    <w:name w:val="annotation reference"/>
    <w:basedOn w:val="DefaultParagraphFont"/>
    <w:uiPriority w:val="99"/>
    <w:semiHidden/>
    <w:unhideWhenUsed/>
    <w:rsid w:val="00C45BEB"/>
    <w:rPr>
      <w:sz w:val="16"/>
      <w:szCs w:val="16"/>
    </w:rPr>
  </w:style>
  <w:style w:type="paragraph" w:styleId="CommentText">
    <w:name w:val="annotation text"/>
    <w:basedOn w:val="Normal"/>
    <w:link w:val="CommentTextChar"/>
    <w:uiPriority w:val="99"/>
    <w:semiHidden/>
    <w:unhideWhenUsed/>
    <w:rsid w:val="00C45BEB"/>
    <w:pPr>
      <w:spacing w:line="240" w:lineRule="auto"/>
    </w:pPr>
    <w:rPr>
      <w:sz w:val="20"/>
      <w:szCs w:val="20"/>
    </w:rPr>
  </w:style>
  <w:style w:type="character" w:customStyle="1" w:styleId="CommentTextChar">
    <w:name w:val="Comment Text Char"/>
    <w:basedOn w:val="DefaultParagraphFont"/>
    <w:link w:val="CommentText"/>
    <w:uiPriority w:val="99"/>
    <w:semiHidden/>
    <w:rsid w:val="00C45BEB"/>
    <w:rPr>
      <w:sz w:val="20"/>
      <w:szCs w:val="20"/>
    </w:rPr>
  </w:style>
  <w:style w:type="paragraph" w:styleId="CommentSubject">
    <w:name w:val="annotation subject"/>
    <w:basedOn w:val="CommentText"/>
    <w:next w:val="CommentText"/>
    <w:link w:val="CommentSubjectChar"/>
    <w:uiPriority w:val="99"/>
    <w:semiHidden/>
    <w:unhideWhenUsed/>
    <w:rsid w:val="00C45BEB"/>
    <w:rPr>
      <w:b/>
      <w:bCs/>
    </w:rPr>
  </w:style>
  <w:style w:type="character" w:customStyle="1" w:styleId="CommentSubjectChar">
    <w:name w:val="Comment Subject Char"/>
    <w:basedOn w:val="CommentTextChar"/>
    <w:link w:val="CommentSubject"/>
    <w:uiPriority w:val="99"/>
    <w:semiHidden/>
    <w:rsid w:val="00C45BEB"/>
    <w:rPr>
      <w:b/>
      <w:bCs/>
      <w:sz w:val="20"/>
      <w:szCs w:val="20"/>
    </w:rPr>
  </w:style>
  <w:style w:type="paragraph" w:styleId="NoSpacing">
    <w:name w:val="No Spacing"/>
    <w:link w:val="NoSpacingChar"/>
    <w:uiPriority w:val="1"/>
    <w:qFormat/>
    <w:rsid w:val="00B2775A"/>
    <w:pPr>
      <w:spacing w:after="0" w:line="240" w:lineRule="auto"/>
    </w:pPr>
    <w:rPr>
      <w:rFonts w:eastAsiaTheme="minorEastAsia"/>
    </w:rPr>
  </w:style>
  <w:style w:type="character" w:customStyle="1" w:styleId="NoSpacingChar">
    <w:name w:val="No Spacing Char"/>
    <w:basedOn w:val="DefaultParagraphFont"/>
    <w:link w:val="NoSpacing"/>
    <w:uiPriority w:val="1"/>
    <w:rsid w:val="00B2775A"/>
    <w:rPr>
      <w:rFonts w:eastAsiaTheme="minorEastAsia"/>
    </w:rPr>
  </w:style>
  <w:style w:type="character" w:customStyle="1" w:styleId="UnresolvedMention1">
    <w:name w:val="Unresolved Mention1"/>
    <w:basedOn w:val="DefaultParagraphFont"/>
    <w:uiPriority w:val="99"/>
    <w:semiHidden/>
    <w:unhideWhenUsed/>
    <w:rsid w:val="002D3672"/>
    <w:rPr>
      <w:color w:val="605E5C"/>
      <w:shd w:val="clear" w:color="auto" w:fill="E1DFDD"/>
    </w:rPr>
  </w:style>
  <w:style w:type="character" w:styleId="FollowedHyperlink">
    <w:name w:val="FollowedHyperlink"/>
    <w:basedOn w:val="DefaultParagraphFont"/>
    <w:uiPriority w:val="99"/>
    <w:semiHidden/>
    <w:unhideWhenUsed/>
    <w:rsid w:val="00737CAA"/>
    <w:rPr>
      <w:color w:val="954F72" w:themeColor="followedHyperlink"/>
      <w:u w:val="single"/>
    </w:rPr>
  </w:style>
  <w:style w:type="character" w:customStyle="1" w:styleId="UnresolvedMention2">
    <w:name w:val="Unresolved Mention2"/>
    <w:basedOn w:val="DefaultParagraphFont"/>
    <w:uiPriority w:val="99"/>
    <w:semiHidden/>
    <w:unhideWhenUsed/>
    <w:rsid w:val="00504F56"/>
    <w:rPr>
      <w:color w:val="605E5C"/>
      <w:shd w:val="clear" w:color="auto" w:fill="E1DFDD"/>
    </w:rPr>
  </w:style>
  <w:style w:type="character" w:customStyle="1" w:styleId="UnresolvedMention">
    <w:name w:val="Unresolved Mention"/>
    <w:basedOn w:val="DefaultParagraphFont"/>
    <w:uiPriority w:val="99"/>
    <w:semiHidden/>
    <w:unhideWhenUsed/>
    <w:rsid w:val="00422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77151">
      <w:bodyDiv w:val="1"/>
      <w:marLeft w:val="0"/>
      <w:marRight w:val="0"/>
      <w:marTop w:val="0"/>
      <w:marBottom w:val="0"/>
      <w:divBdr>
        <w:top w:val="none" w:sz="0" w:space="0" w:color="auto"/>
        <w:left w:val="none" w:sz="0" w:space="0" w:color="auto"/>
        <w:bottom w:val="none" w:sz="0" w:space="0" w:color="auto"/>
        <w:right w:val="none" w:sz="0" w:space="0" w:color="auto"/>
      </w:divBdr>
    </w:div>
    <w:div w:id="116142649">
      <w:bodyDiv w:val="1"/>
      <w:marLeft w:val="0"/>
      <w:marRight w:val="0"/>
      <w:marTop w:val="0"/>
      <w:marBottom w:val="0"/>
      <w:divBdr>
        <w:top w:val="none" w:sz="0" w:space="0" w:color="auto"/>
        <w:left w:val="none" w:sz="0" w:space="0" w:color="auto"/>
        <w:bottom w:val="none" w:sz="0" w:space="0" w:color="auto"/>
        <w:right w:val="none" w:sz="0" w:space="0" w:color="auto"/>
      </w:divBdr>
    </w:div>
    <w:div w:id="148255291">
      <w:bodyDiv w:val="1"/>
      <w:marLeft w:val="0"/>
      <w:marRight w:val="0"/>
      <w:marTop w:val="0"/>
      <w:marBottom w:val="0"/>
      <w:divBdr>
        <w:top w:val="none" w:sz="0" w:space="0" w:color="auto"/>
        <w:left w:val="none" w:sz="0" w:space="0" w:color="auto"/>
        <w:bottom w:val="none" w:sz="0" w:space="0" w:color="auto"/>
        <w:right w:val="none" w:sz="0" w:space="0" w:color="auto"/>
      </w:divBdr>
    </w:div>
    <w:div w:id="440028842">
      <w:bodyDiv w:val="1"/>
      <w:marLeft w:val="0"/>
      <w:marRight w:val="0"/>
      <w:marTop w:val="0"/>
      <w:marBottom w:val="0"/>
      <w:divBdr>
        <w:top w:val="none" w:sz="0" w:space="0" w:color="auto"/>
        <w:left w:val="none" w:sz="0" w:space="0" w:color="auto"/>
        <w:bottom w:val="none" w:sz="0" w:space="0" w:color="auto"/>
        <w:right w:val="none" w:sz="0" w:space="0" w:color="auto"/>
      </w:divBdr>
    </w:div>
    <w:div w:id="504169281">
      <w:bodyDiv w:val="1"/>
      <w:marLeft w:val="0"/>
      <w:marRight w:val="0"/>
      <w:marTop w:val="0"/>
      <w:marBottom w:val="0"/>
      <w:divBdr>
        <w:top w:val="none" w:sz="0" w:space="0" w:color="auto"/>
        <w:left w:val="none" w:sz="0" w:space="0" w:color="auto"/>
        <w:bottom w:val="none" w:sz="0" w:space="0" w:color="auto"/>
        <w:right w:val="none" w:sz="0" w:space="0" w:color="auto"/>
      </w:divBdr>
    </w:div>
    <w:div w:id="528566009">
      <w:bodyDiv w:val="1"/>
      <w:marLeft w:val="0"/>
      <w:marRight w:val="0"/>
      <w:marTop w:val="0"/>
      <w:marBottom w:val="0"/>
      <w:divBdr>
        <w:top w:val="none" w:sz="0" w:space="0" w:color="auto"/>
        <w:left w:val="none" w:sz="0" w:space="0" w:color="auto"/>
        <w:bottom w:val="none" w:sz="0" w:space="0" w:color="auto"/>
        <w:right w:val="none" w:sz="0" w:space="0" w:color="auto"/>
      </w:divBdr>
    </w:div>
    <w:div w:id="584152177">
      <w:bodyDiv w:val="1"/>
      <w:marLeft w:val="0"/>
      <w:marRight w:val="0"/>
      <w:marTop w:val="0"/>
      <w:marBottom w:val="0"/>
      <w:divBdr>
        <w:top w:val="none" w:sz="0" w:space="0" w:color="auto"/>
        <w:left w:val="none" w:sz="0" w:space="0" w:color="auto"/>
        <w:bottom w:val="none" w:sz="0" w:space="0" w:color="auto"/>
        <w:right w:val="none" w:sz="0" w:space="0" w:color="auto"/>
      </w:divBdr>
    </w:div>
    <w:div w:id="613486209">
      <w:bodyDiv w:val="1"/>
      <w:marLeft w:val="0"/>
      <w:marRight w:val="0"/>
      <w:marTop w:val="0"/>
      <w:marBottom w:val="0"/>
      <w:divBdr>
        <w:top w:val="none" w:sz="0" w:space="0" w:color="auto"/>
        <w:left w:val="none" w:sz="0" w:space="0" w:color="auto"/>
        <w:bottom w:val="none" w:sz="0" w:space="0" w:color="auto"/>
        <w:right w:val="none" w:sz="0" w:space="0" w:color="auto"/>
      </w:divBdr>
      <w:divsChild>
        <w:div w:id="981273607">
          <w:marLeft w:val="446"/>
          <w:marRight w:val="0"/>
          <w:marTop w:val="0"/>
          <w:marBottom w:val="0"/>
          <w:divBdr>
            <w:top w:val="none" w:sz="0" w:space="0" w:color="auto"/>
            <w:left w:val="none" w:sz="0" w:space="0" w:color="auto"/>
            <w:bottom w:val="none" w:sz="0" w:space="0" w:color="auto"/>
            <w:right w:val="none" w:sz="0" w:space="0" w:color="auto"/>
          </w:divBdr>
        </w:div>
        <w:div w:id="1836870846">
          <w:marLeft w:val="446"/>
          <w:marRight w:val="0"/>
          <w:marTop w:val="0"/>
          <w:marBottom w:val="0"/>
          <w:divBdr>
            <w:top w:val="none" w:sz="0" w:space="0" w:color="auto"/>
            <w:left w:val="none" w:sz="0" w:space="0" w:color="auto"/>
            <w:bottom w:val="none" w:sz="0" w:space="0" w:color="auto"/>
            <w:right w:val="none" w:sz="0" w:space="0" w:color="auto"/>
          </w:divBdr>
        </w:div>
        <w:div w:id="1028675884">
          <w:marLeft w:val="446"/>
          <w:marRight w:val="0"/>
          <w:marTop w:val="0"/>
          <w:marBottom w:val="0"/>
          <w:divBdr>
            <w:top w:val="none" w:sz="0" w:space="0" w:color="auto"/>
            <w:left w:val="none" w:sz="0" w:space="0" w:color="auto"/>
            <w:bottom w:val="none" w:sz="0" w:space="0" w:color="auto"/>
            <w:right w:val="none" w:sz="0" w:space="0" w:color="auto"/>
          </w:divBdr>
        </w:div>
        <w:div w:id="1823350530">
          <w:marLeft w:val="446"/>
          <w:marRight w:val="0"/>
          <w:marTop w:val="0"/>
          <w:marBottom w:val="0"/>
          <w:divBdr>
            <w:top w:val="none" w:sz="0" w:space="0" w:color="auto"/>
            <w:left w:val="none" w:sz="0" w:space="0" w:color="auto"/>
            <w:bottom w:val="none" w:sz="0" w:space="0" w:color="auto"/>
            <w:right w:val="none" w:sz="0" w:space="0" w:color="auto"/>
          </w:divBdr>
        </w:div>
      </w:divsChild>
    </w:div>
    <w:div w:id="670528096">
      <w:bodyDiv w:val="1"/>
      <w:marLeft w:val="0"/>
      <w:marRight w:val="0"/>
      <w:marTop w:val="0"/>
      <w:marBottom w:val="0"/>
      <w:divBdr>
        <w:top w:val="none" w:sz="0" w:space="0" w:color="auto"/>
        <w:left w:val="none" w:sz="0" w:space="0" w:color="auto"/>
        <w:bottom w:val="none" w:sz="0" w:space="0" w:color="auto"/>
        <w:right w:val="none" w:sz="0" w:space="0" w:color="auto"/>
      </w:divBdr>
      <w:divsChild>
        <w:div w:id="684135755">
          <w:marLeft w:val="446"/>
          <w:marRight w:val="0"/>
          <w:marTop w:val="0"/>
          <w:marBottom w:val="0"/>
          <w:divBdr>
            <w:top w:val="none" w:sz="0" w:space="0" w:color="auto"/>
            <w:left w:val="none" w:sz="0" w:space="0" w:color="auto"/>
            <w:bottom w:val="none" w:sz="0" w:space="0" w:color="auto"/>
            <w:right w:val="none" w:sz="0" w:space="0" w:color="auto"/>
          </w:divBdr>
        </w:div>
        <w:div w:id="1383408294">
          <w:marLeft w:val="446"/>
          <w:marRight w:val="0"/>
          <w:marTop w:val="0"/>
          <w:marBottom w:val="0"/>
          <w:divBdr>
            <w:top w:val="none" w:sz="0" w:space="0" w:color="auto"/>
            <w:left w:val="none" w:sz="0" w:space="0" w:color="auto"/>
            <w:bottom w:val="none" w:sz="0" w:space="0" w:color="auto"/>
            <w:right w:val="none" w:sz="0" w:space="0" w:color="auto"/>
          </w:divBdr>
        </w:div>
        <w:div w:id="791097119">
          <w:marLeft w:val="1166"/>
          <w:marRight w:val="0"/>
          <w:marTop w:val="0"/>
          <w:marBottom w:val="0"/>
          <w:divBdr>
            <w:top w:val="none" w:sz="0" w:space="0" w:color="auto"/>
            <w:left w:val="none" w:sz="0" w:space="0" w:color="auto"/>
            <w:bottom w:val="none" w:sz="0" w:space="0" w:color="auto"/>
            <w:right w:val="none" w:sz="0" w:space="0" w:color="auto"/>
          </w:divBdr>
        </w:div>
        <w:div w:id="124782323">
          <w:marLeft w:val="1886"/>
          <w:marRight w:val="0"/>
          <w:marTop w:val="0"/>
          <w:marBottom w:val="0"/>
          <w:divBdr>
            <w:top w:val="none" w:sz="0" w:space="0" w:color="auto"/>
            <w:left w:val="none" w:sz="0" w:space="0" w:color="auto"/>
            <w:bottom w:val="none" w:sz="0" w:space="0" w:color="auto"/>
            <w:right w:val="none" w:sz="0" w:space="0" w:color="auto"/>
          </w:divBdr>
        </w:div>
        <w:div w:id="1603222237">
          <w:marLeft w:val="1886"/>
          <w:marRight w:val="0"/>
          <w:marTop w:val="0"/>
          <w:marBottom w:val="0"/>
          <w:divBdr>
            <w:top w:val="none" w:sz="0" w:space="0" w:color="auto"/>
            <w:left w:val="none" w:sz="0" w:space="0" w:color="auto"/>
            <w:bottom w:val="none" w:sz="0" w:space="0" w:color="auto"/>
            <w:right w:val="none" w:sz="0" w:space="0" w:color="auto"/>
          </w:divBdr>
        </w:div>
        <w:div w:id="1661350475">
          <w:marLeft w:val="1886"/>
          <w:marRight w:val="0"/>
          <w:marTop w:val="0"/>
          <w:marBottom w:val="0"/>
          <w:divBdr>
            <w:top w:val="none" w:sz="0" w:space="0" w:color="auto"/>
            <w:left w:val="none" w:sz="0" w:space="0" w:color="auto"/>
            <w:bottom w:val="none" w:sz="0" w:space="0" w:color="auto"/>
            <w:right w:val="none" w:sz="0" w:space="0" w:color="auto"/>
          </w:divBdr>
        </w:div>
        <w:div w:id="498038598">
          <w:marLeft w:val="1166"/>
          <w:marRight w:val="0"/>
          <w:marTop w:val="0"/>
          <w:marBottom w:val="0"/>
          <w:divBdr>
            <w:top w:val="none" w:sz="0" w:space="0" w:color="auto"/>
            <w:left w:val="none" w:sz="0" w:space="0" w:color="auto"/>
            <w:bottom w:val="none" w:sz="0" w:space="0" w:color="auto"/>
            <w:right w:val="none" w:sz="0" w:space="0" w:color="auto"/>
          </w:divBdr>
        </w:div>
        <w:div w:id="355737602">
          <w:marLeft w:val="1886"/>
          <w:marRight w:val="0"/>
          <w:marTop w:val="0"/>
          <w:marBottom w:val="0"/>
          <w:divBdr>
            <w:top w:val="none" w:sz="0" w:space="0" w:color="auto"/>
            <w:left w:val="none" w:sz="0" w:space="0" w:color="auto"/>
            <w:bottom w:val="none" w:sz="0" w:space="0" w:color="auto"/>
            <w:right w:val="none" w:sz="0" w:space="0" w:color="auto"/>
          </w:divBdr>
        </w:div>
        <w:div w:id="1286699629">
          <w:marLeft w:val="1886"/>
          <w:marRight w:val="0"/>
          <w:marTop w:val="0"/>
          <w:marBottom w:val="0"/>
          <w:divBdr>
            <w:top w:val="none" w:sz="0" w:space="0" w:color="auto"/>
            <w:left w:val="none" w:sz="0" w:space="0" w:color="auto"/>
            <w:bottom w:val="none" w:sz="0" w:space="0" w:color="auto"/>
            <w:right w:val="none" w:sz="0" w:space="0" w:color="auto"/>
          </w:divBdr>
        </w:div>
        <w:div w:id="967931574">
          <w:marLeft w:val="446"/>
          <w:marRight w:val="0"/>
          <w:marTop w:val="0"/>
          <w:marBottom w:val="0"/>
          <w:divBdr>
            <w:top w:val="none" w:sz="0" w:space="0" w:color="auto"/>
            <w:left w:val="none" w:sz="0" w:space="0" w:color="auto"/>
            <w:bottom w:val="none" w:sz="0" w:space="0" w:color="auto"/>
            <w:right w:val="none" w:sz="0" w:space="0" w:color="auto"/>
          </w:divBdr>
        </w:div>
        <w:div w:id="124588446">
          <w:marLeft w:val="1166"/>
          <w:marRight w:val="0"/>
          <w:marTop w:val="0"/>
          <w:marBottom w:val="0"/>
          <w:divBdr>
            <w:top w:val="none" w:sz="0" w:space="0" w:color="auto"/>
            <w:left w:val="none" w:sz="0" w:space="0" w:color="auto"/>
            <w:bottom w:val="none" w:sz="0" w:space="0" w:color="auto"/>
            <w:right w:val="none" w:sz="0" w:space="0" w:color="auto"/>
          </w:divBdr>
        </w:div>
        <w:div w:id="448621527">
          <w:marLeft w:val="1166"/>
          <w:marRight w:val="0"/>
          <w:marTop w:val="0"/>
          <w:marBottom w:val="0"/>
          <w:divBdr>
            <w:top w:val="none" w:sz="0" w:space="0" w:color="auto"/>
            <w:left w:val="none" w:sz="0" w:space="0" w:color="auto"/>
            <w:bottom w:val="none" w:sz="0" w:space="0" w:color="auto"/>
            <w:right w:val="none" w:sz="0" w:space="0" w:color="auto"/>
          </w:divBdr>
        </w:div>
        <w:div w:id="2095858557">
          <w:marLeft w:val="446"/>
          <w:marRight w:val="0"/>
          <w:marTop w:val="0"/>
          <w:marBottom w:val="0"/>
          <w:divBdr>
            <w:top w:val="none" w:sz="0" w:space="0" w:color="auto"/>
            <w:left w:val="none" w:sz="0" w:space="0" w:color="auto"/>
            <w:bottom w:val="none" w:sz="0" w:space="0" w:color="auto"/>
            <w:right w:val="none" w:sz="0" w:space="0" w:color="auto"/>
          </w:divBdr>
        </w:div>
      </w:divsChild>
    </w:div>
    <w:div w:id="700278397">
      <w:bodyDiv w:val="1"/>
      <w:marLeft w:val="0"/>
      <w:marRight w:val="0"/>
      <w:marTop w:val="0"/>
      <w:marBottom w:val="0"/>
      <w:divBdr>
        <w:top w:val="none" w:sz="0" w:space="0" w:color="auto"/>
        <w:left w:val="none" w:sz="0" w:space="0" w:color="auto"/>
        <w:bottom w:val="none" w:sz="0" w:space="0" w:color="auto"/>
        <w:right w:val="none" w:sz="0" w:space="0" w:color="auto"/>
      </w:divBdr>
    </w:div>
    <w:div w:id="708993723">
      <w:bodyDiv w:val="1"/>
      <w:marLeft w:val="0"/>
      <w:marRight w:val="0"/>
      <w:marTop w:val="0"/>
      <w:marBottom w:val="0"/>
      <w:divBdr>
        <w:top w:val="none" w:sz="0" w:space="0" w:color="auto"/>
        <w:left w:val="none" w:sz="0" w:space="0" w:color="auto"/>
        <w:bottom w:val="none" w:sz="0" w:space="0" w:color="auto"/>
        <w:right w:val="none" w:sz="0" w:space="0" w:color="auto"/>
      </w:divBdr>
    </w:div>
    <w:div w:id="710153795">
      <w:bodyDiv w:val="1"/>
      <w:marLeft w:val="0"/>
      <w:marRight w:val="0"/>
      <w:marTop w:val="0"/>
      <w:marBottom w:val="0"/>
      <w:divBdr>
        <w:top w:val="none" w:sz="0" w:space="0" w:color="auto"/>
        <w:left w:val="none" w:sz="0" w:space="0" w:color="auto"/>
        <w:bottom w:val="none" w:sz="0" w:space="0" w:color="auto"/>
        <w:right w:val="none" w:sz="0" w:space="0" w:color="auto"/>
      </w:divBdr>
    </w:div>
    <w:div w:id="751663226">
      <w:bodyDiv w:val="1"/>
      <w:marLeft w:val="0"/>
      <w:marRight w:val="0"/>
      <w:marTop w:val="0"/>
      <w:marBottom w:val="0"/>
      <w:divBdr>
        <w:top w:val="none" w:sz="0" w:space="0" w:color="auto"/>
        <w:left w:val="none" w:sz="0" w:space="0" w:color="auto"/>
        <w:bottom w:val="none" w:sz="0" w:space="0" w:color="auto"/>
        <w:right w:val="none" w:sz="0" w:space="0" w:color="auto"/>
      </w:divBdr>
    </w:div>
    <w:div w:id="752623404">
      <w:bodyDiv w:val="1"/>
      <w:marLeft w:val="0"/>
      <w:marRight w:val="0"/>
      <w:marTop w:val="0"/>
      <w:marBottom w:val="0"/>
      <w:divBdr>
        <w:top w:val="none" w:sz="0" w:space="0" w:color="auto"/>
        <w:left w:val="none" w:sz="0" w:space="0" w:color="auto"/>
        <w:bottom w:val="none" w:sz="0" w:space="0" w:color="auto"/>
        <w:right w:val="none" w:sz="0" w:space="0" w:color="auto"/>
      </w:divBdr>
    </w:div>
    <w:div w:id="759183707">
      <w:bodyDiv w:val="1"/>
      <w:marLeft w:val="0"/>
      <w:marRight w:val="0"/>
      <w:marTop w:val="0"/>
      <w:marBottom w:val="0"/>
      <w:divBdr>
        <w:top w:val="none" w:sz="0" w:space="0" w:color="auto"/>
        <w:left w:val="none" w:sz="0" w:space="0" w:color="auto"/>
        <w:bottom w:val="none" w:sz="0" w:space="0" w:color="auto"/>
        <w:right w:val="none" w:sz="0" w:space="0" w:color="auto"/>
      </w:divBdr>
    </w:div>
    <w:div w:id="767045400">
      <w:bodyDiv w:val="1"/>
      <w:marLeft w:val="0"/>
      <w:marRight w:val="0"/>
      <w:marTop w:val="0"/>
      <w:marBottom w:val="0"/>
      <w:divBdr>
        <w:top w:val="none" w:sz="0" w:space="0" w:color="auto"/>
        <w:left w:val="none" w:sz="0" w:space="0" w:color="auto"/>
        <w:bottom w:val="none" w:sz="0" w:space="0" w:color="auto"/>
        <w:right w:val="none" w:sz="0" w:space="0" w:color="auto"/>
      </w:divBdr>
    </w:div>
    <w:div w:id="770589422">
      <w:bodyDiv w:val="1"/>
      <w:marLeft w:val="0"/>
      <w:marRight w:val="0"/>
      <w:marTop w:val="0"/>
      <w:marBottom w:val="0"/>
      <w:divBdr>
        <w:top w:val="none" w:sz="0" w:space="0" w:color="auto"/>
        <w:left w:val="none" w:sz="0" w:space="0" w:color="auto"/>
        <w:bottom w:val="none" w:sz="0" w:space="0" w:color="auto"/>
        <w:right w:val="none" w:sz="0" w:space="0" w:color="auto"/>
      </w:divBdr>
    </w:div>
    <w:div w:id="803741554">
      <w:bodyDiv w:val="1"/>
      <w:marLeft w:val="0"/>
      <w:marRight w:val="0"/>
      <w:marTop w:val="0"/>
      <w:marBottom w:val="0"/>
      <w:divBdr>
        <w:top w:val="none" w:sz="0" w:space="0" w:color="auto"/>
        <w:left w:val="none" w:sz="0" w:space="0" w:color="auto"/>
        <w:bottom w:val="none" w:sz="0" w:space="0" w:color="auto"/>
        <w:right w:val="none" w:sz="0" w:space="0" w:color="auto"/>
      </w:divBdr>
    </w:div>
    <w:div w:id="830490629">
      <w:bodyDiv w:val="1"/>
      <w:marLeft w:val="0"/>
      <w:marRight w:val="0"/>
      <w:marTop w:val="0"/>
      <w:marBottom w:val="0"/>
      <w:divBdr>
        <w:top w:val="none" w:sz="0" w:space="0" w:color="auto"/>
        <w:left w:val="none" w:sz="0" w:space="0" w:color="auto"/>
        <w:bottom w:val="none" w:sz="0" w:space="0" w:color="auto"/>
        <w:right w:val="none" w:sz="0" w:space="0" w:color="auto"/>
      </w:divBdr>
    </w:div>
    <w:div w:id="925920511">
      <w:bodyDiv w:val="1"/>
      <w:marLeft w:val="0"/>
      <w:marRight w:val="0"/>
      <w:marTop w:val="0"/>
      <w:marBottom w:val="0"/>
      <w:divBdr>
        <w:top w:val="none" w:sz="0" w:space="0" w:color="auto"/>
        <w:left w:val="none" w:sz="0" w:space="0" w:color="auto"/>
        <w:bottom w:val="none" w:sz="0" w:space="0" w:color="auto"/>
        <w:right w:val="none" w:sz="0" w:space="0" w:color="auto"/>
      </w:divBdr>
    </w:div>
    <w:div w:id="930312897">
      <w:bodyDiv w:val="1"/>
      <w:marLeft w:val="0"/>
      <w:marRight w:val="0"/>
      <w:marTop w:val="0"/>
      <w:marBottom w:val="0"/>
      <w:divBdr>
        <w:top w:val="none" w:sz="0" w:space="0" w:color="auto"/>
        <w:left w:val="none" w:sz="0" w:space="0" w:color="auto"/>
        <w:bottom w:val="none" w:sz="0" w:space="0" w:color="auto"/>
        <w:right w:val="none" w:sz="0" w:space="0" w:color="auto"/>
      </w:divBdr>
    </w:div>
    <w:div w:id="954948700">
      <w:bodyDiv w:val="1"/>
      <w:marLeft w:val="0"/>
      <w:marRight w:val="0"/>
      <w:marTop w:val="0"/>
      <w:marBottom w:val="0"/>
      <w:divBdr>
        <w:top w:val="none" w:sz="0" w:space="0" w:color="auto"/>
        <w:left w:val="none" w:sz="0" w:space="0" w:color="auto"/>
        <w:bottom w:val="none" w:sz="0" w:space="0" w:color="auto"/>
        <w:right w:val="none" w:sz="0" w:space="0" w:color="auto"/>
      </w:divBdr>
    </w:div>
    <w:div w:id="1184974758">
      <w:bodyDiv w:val="1"/>
      <w:marLeft w:val="0"/>
      <w:marRight w:val="0"/>
      <w:marTop w:val="0"/>
      <w:marBottom w:val="0"/>
      <w:divBdr>
        <w:top w:val="none" w:sz="0" w:space="0" w:color="auto"/>
        <w:left w:val="none" w:sz="0" w:space="0" w:color="auto"/>
        <w:bottom w:val="none" w:sz="0" w:space="0" w:color="auto"/>
        <w:right w:val="none" w:sz="0" w:space="0" w:color="auto"/>
      </w:divBdr>
    </w:div>
    <w:div w:id="1185904237">
      <w:bodyDiv w:val="1"/>
      <w:marLeft w:val="0"/>
      <w:marRight w:val="0"/>
      <w:marTop w:val="0"/>
      <w:marBottom w:val="0"/>
      <w:divBdr>
        <w:top w:val="none" w:sz="0" w:space="0" w:color="auto"/>
        <w:left w:val="none" w:sz="0" w:space="0" w:color="auto"/>
        <w:bottom w:val="none" w:sz="0" w:space="0" w:color="auto"/>
        <w:right w:val="none" w:sz="0" w:space="0" w:color="auto"/>
      </w:divBdr>
    </w:div>
    <w:div w:id="1204369562">
      <w:bodyDiv w:val="1"/>
      <w:marLeft w:val="0"/>
      <w:marRight w:val="0"/>
      <w:marTop w:val="0"/>
      <w:marBottom w:val="0"/>
      <w:divBdr>
        <w:top w:val="none" w:sz="0" w:space="0" w:color="auto"/>
        <w:left w:val="none" w:sz="0" w:space="0" w:color="auto"/>
        <w:bottom w:val="none" w:sz="0" w:space="0" w:color="auto"/>
        <w:right w:val="none" w:sz="0" w:space="0" w:color="auto"/>
      </w:divBdr>
    </w:div>
    <w:div w:id="1267273494">
      <w:bodyDiv w:val="1"/>
      <w:marLeft w:val="0"/>
      <w:marRight w:val="0"/>
      <w:marTop w:val="0"/>
      <w:marBottom w:val="0"/>
      <w:divBdr>
        <w:top w:val="none" w:sz="0" w:space="0" w:color="auto"/>
        <w:left w:val="none" w:sz="0" w:space="0" w:color="auto"/>
        <w:bottom w:val="none" w:sz="0" w:space="0" w:color="auto"/>
        <w:right w:val="none" w:sz="0" w:space="0" w:color="auto"/>
      </w:divBdr>
    </w:div>
    <w:div w:id="1306548015">
      <w:bodyDiv w:val="1"/>
      <w:marLeft w:val="0"/>
      <w:marRight w:val="0"/>
      <w:marTop w:val="0"/>
      <w:marBottom w:val="0"/>
      <w:divBdr>
        <w:top w:val="none" w:sz="0" w:space="0" w:color="auto"/>
        <w:left w:val="none" w:sz="0" w:space="0" w:color="auto"/>
        <w:bottom w:val="none" w:sz="0" w:space="0" w:color="auto"/>
        <w:right w:val="none" w:sz="0" w:space="0" w:color="auto"/>
      </w:divBdr>
    </w:div>
    <w:div w:id="1324309875">
      <w:bodyDiv w:val="1"/>
      <w:marLeft w:val="0"/>
      <w:marRight w:val="0"/>
      <w:marTop w:val="0"/>
      <w:marBottom w:val="0"/>
      <w:divBdr>
        <w:top w:val="none" w:sz="0" w:space="0" w:color="auto"/>
        <w:left w:val="none" w:sz="0" w:space="0" w:color="auto"/>
        <w:bottom w:val="none" w:sz="0" w:space="0" w:color="auto"/>
        <w:right w:val="none" w:sz="0" w:space="0" w:color="auto"/>
      </w:divBdr>
    </w:div>
    <w:div w:id="1330400915">
      <w:bodyDiv w:val="1"/>
      <w:marLeft w:val="0"/>
      <w:marRight w:val="0"/>
      <w:marTop w:val="0"/>
      <w:marBottom w:val="0"/>
      <w:divBdr>
        <w:top w:val="none" w:sz="0" w:space="0" w:color="auto"/>
        <w:left w:val="none" w:sz="0" w:space="0" w:color="auto"/>
        <w:bottom w:val="none" w:sz="0" w:space="0" w:color="auto"/>
        <w:right w:val="none" w:sz="0" w:space="0" w:color="auto"/>
      </w:divBdr>
    </w:div>
    <w:div w:id="1370835122">
      <w:bodyDiv w:val="1"/>
      <w:marLeft w:val="0"/>
      <w:marRight w:val="0"/>
      <w:marTop w:val="0"/>
      <w:marBottom w:val="0"/>
      <w:divBdr>
        <w:top w:val="none" w:sz="0" w:space="0" w:color="auto"/>
        <w:left w:val="none" w:sz="0" w:space="0" w:color="auto"/>
        <w:bottom w:val="none" w:sz="0" w:space="0" w:color="auto"/>
        <w:right w:val="none" w:sz="0" w:space="0" w:color="auto"/>
      </w:divBdr>
    </w:div>
    <w:div w:id="1502771510">
      <w:bodyDiv w:val="1"/>
      <w:marLeft w:val="0"/>
      <w:marRight w:val="0"/>
      <w:marTop w:val="0"/>
      <w:marBottom w:val="0"/>
      <w:divBdr>
        <w:top w:val="none" w:sz="0" w:space="0" w:color="auto"/>
        <w:left w:val="none" w:sz="0" w:space="0" w:color="auto"/>
        <w:bottom w:val="none" w:sz="0" w:space="0" w:color="auto"/>
        <w:right w:val="none" w:sz="0" w:space="0" w:color="auto"/>
      </w:divBdr>
    </w:div>
    <w:div w:id="1527716919">
      <w:bodyDiv w:val="1"/>
      <w:marLeft w:val="0"/>
      <w:marRight w:val="0"/>
      <w:marTop w:val="0"/>
      <w:marBottom w:val="0"/>
      <w:divBdr>
        <w:top w:val="none" w:sz="0" w:space="0" w:color="auto"/>
        <w:left w:val="none" w:sz="0" w:space="0" w:color="auto"/>
        <w:bottom w:val="none" w:sz="0" w:space="0" w:color="auto"/>
        <w:right w:val="none" w:sz="0" w:space="0" w:color="auto"/>
      </w:divBdr>
    </w:div>
    <w:div w:id="1550917472">
      <w:bodyDiv w:val="1"/>
      <w:marLeft w:val="0"/>
      <w:marRight w:val="0"/>
      <w:marTop w:val="0"/>
      <w:marBottom w:val="0"/>
      <w:divBdr>
        <w:top w:val="none" w:sz="0" w:space="0" w:color="auto"/>
        <w:left w:val="none" w:sz="0" w:space="0" w:color="auto"/>
        <w:bottom w:val="none" w:sz="0" w:space="0" w:color="auto"/>
        <w:right w:val="none" w:sz="0" w:space="0" w:color="auto"/>
      </w:divBdr>
      <w:divsChild>
        <w:div w:id="1478454484">
          <w:marLeft w:val="360"/>
          <w:marRight w:val="0"/>
          <w:marTop w:val="0"/>
          <w:marBottom w:val="0"/>
          <w:divBdr>
            <w:top w:val="none" w:sz="0" w:space="0" w:color="auto"/>
            <w:left w:val="none" w:sz="0" w:space="0" w:color="auto"/>
            <w:bottom w:val="none" w:sz="0" w:space="0" w:color="auto"/>
            <w:right w:val="none" w:sz="0" w:space="0" w:color="auto"/>
          </w:divBdr>
        </w:div>
        <w:div w:id="1120536084">
          <w:marLeft w:val="360"/>
          <w:marRight w:val="0"/>
          <w:marTop w:val="0"/>
          <w:marBottom w:val="0"/>
          <w:divBdr>
            <w:top w:val="none" w:sz="0" w:space="0" w:color="auto"/>
            <w:left w:val="none" w:sz="0" w:space="0" w:color="auto"/>
            <w:bottom w:val="none" w:sz="0" w:space="0" w:color="auto"/>
            <w:right w:val="none" w:sz="0" w:space="0" w:color="auto"/>
          </w:divBdr>
        </w:div>
        <w:div w:id="1821118835">
          <w:marLeft w:val="360"/>
          <w:marRight w:val="0"/>
          <w:marTop w:val="0"/>
          <w:marBottom w:val="0"/>
          <w:divBdr>
            <w:top w:val="none" w:sz="0" w:space="0" w:color="auto"/>
            <w:left w:val="none" w:sz="0" w:space="0" w:color="auto"/>
            <w:bottom w:val="none" w:sz="0" w:space="0" w:color="auto"/>
            <w:right w:val="none" w:sz="0" w:space="0" w:color="auto"/>
          </w:divBdr>
        </w:div>
        <w:div w:id="1056733338">
          <w:marLeft w:val="360"/>
          <w:marRight w:val="0"/>
          <w:marTop w:val="0"/>
          <w:marBottom w:val="160"/>
          <w:divBdr>
            <w:top w:val="none" w:sz="0" w:space="0" w:color="auto"/>
            <w:left w:val="none" w:sz="0" w:space="0" w:color="auto"/>
            <w:bottom w:val="none" w:sz="0" w:space="0" w:color="auto"/>
            <w:right w:val="none" w:sz="0" w:space="0" w:color="auto"/>
          </w:divBdr>
        </w:div>
      </w:divsChild>
    </w:div>
    <w:div w:id="1573925326">
      <w:bodyDiv w:val="1"/>
      <w:marLeft w:val="0"/>
      <w:marRight w:val="0"/>
      <w:marTop w:val="0"/>
      <w:marBottom w:val="0"/>
      <w:divBdr>
        <w:top w:val="none" w:sz="0" w:space="0" w:color="auto"/>
        <w:left w:val="none" w:sz="0" w:space="0" w:color="auto"/>
        <w:bottom w:val="none" w:sz="0" w:space="0" w:color="auto"/>
        <w:right w:val="none" w:sz="0" w:space="0" w:color="auto"/>
      </w:divBdr>
    </w:div>
    <w:div w:id="1640383998">
      <w:bodyDiv w:val="1"/>
      <w:marLeft w:val="0"/>
      <w:marRight w:val="0"/>
      <w:marTop w:val="0"/>
      <w:marBottom w:val="0"/>
      <w:divBdr>
        <w:top w:val="none" w:sz="0" w:space="0" w:color="auto"/>
        <w:left w:val="none" w:sz="0" w:space="0" w:color="auto"/>
        <w:bottom w:val="none" w:sz="0" w:space="0" w:color="auto"/>
        <w:right w:val="none" w:sz="0" w:space="0" w:color="auto"/>
      </w:divBdr>
    </w:div>
    <w:div w:id="1673294615">
      <w:bodyDiv w:val="1"/>
      <w:marLeft w:val="0"/>
      <w:marRight w:val="0"/>
      <w:marTop w:val="0"/>
      <w:marBottom w:val="0"/>
      <w:divBdr>
        <w:top w:val="none" w:sz="0" w:space="0" w:color="auto"/>
        <w:left w:val="none" w:sz="0" w:space="0" w:color="auto"/>
        <w:bottom w:val="none" w:sz="0" w:space="0" w:color="auto"/>
        <w:right w:val="none" w:sz="0" w:space="0" w:color="auto"/>
      </w:divBdr>
    </w:div>
    <w:div w:id="1713531071">
      <w:bodyDiv w:val="1"/>
      <w:marLeft w:val="0"/>
      <w:marRight w:val="0"/>
      <w:marTop w:val="0"/>
      <w:marBottom w:val="0"/>
      <w:divBdr>
        <w:top w:val="none" w:sz="0" w:space="0" w:color="auto"/>
        <w:left w:val="none" w:sz="0" w:space="0" w:color="auto"/>
        <w:bottom w:val="none" w:sz="0" w:space="0" w:color="auto"/>
        <w:right w:val="none" w:sz="0" w:space="0" w:color="auto"/>
      </w:divBdr>
    </w:div>
    <w:div w:id="1721250429">
      <w:bodyDiv w:val="1"/>
      <w:marLeft w:val="0"/>
      <w:marRight w:val="0"/>
      <w:marTop w:val="0"/>
      <w:marBottom w:val="0"/>
      <w:divBdr>
        <w:top w:val="none" w:sz="0" w:space="0" w:color="auto"/>
        <w:left w:val="none" w:sz="0" w:space="0" w:color="auto"/>
        <w:bottom w:val="none" w:sz="0" w:space="0" w:color="auto"/>
        <w:right w:val="none" w:sz="0" w:space="0" w:color="auto"/>
      </w:divBdr>
    </w:div>
    <w:div w:id="1856069849">
      <w:bodyDiv w:val="1"/>
      <w:marLeft w:val="0"/>
      <w:marRight w:val="0"/>
      <w:marTop w:val="0"/>
      <w:marBottom w:val="0"/>
      <w:divBdr>
        <w:top w:val="none" w:sz="0" w:space="0" w:color="auto"/>
        <w:left w:val="none" w:sz="0" w:space="0" w:color="auto"/>
        <w:bottom w:val="none" w:sz="0" w:space="0" w:color="auto"/>
        <w:right w:val="none" w:sz="0" w:space="0" w:color="auto"/>
      </w:divBdr>
    </w:div>
    <w:div w:id="1865093120">
      <w:bodyDiv w:val="1"/>
      <w:marLeft w:val="0"/>
      <w:marRight w:val="0"/>
      <w:marTop w:val="0"/>
      <w:marBottom w:val="0"/>
      <w:divBdr>
        <w:top w:val="none" w:sz="0" w:space="0" w:color="auto"/>
        <w:left w:val="none" w:sz="0" w:space="0" w:color="auto"/>
        <w:bottom w:val="none" w:sz="0" w:space="0" w:color="auto"/>
        <w:right w:val="none" w:sz="0" w:space="0" w:color="auto"/>
      </w:divBdr>
    </w:div>
    <w:div w:id="1875924654">
      <w:bodyDiv w:val="1"/>
      <w:marLeft w:val="0"/>
      <w:marRight w:val="0"/>
      <w:marTop w:val="0"/>
      <w:marBottom w:val="0"/>
      <w:divBdr>
        <w:top w:val="none" w:sz="0" w:space="0" w:color="auto"/>
        <w:left w:val="none" w:sz="0" w:space="0" w:color="auto"/>
        <w:bottom w:val="none" w:sz="0" w:space="0" w:color="auto"/>
        <w:right w:val="none" w:sz="0" w:space="0" w:color="auto"/>
      </w:divBdr>
    </w:div>
    <w:div w:id="2082559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vu.maps.arcgis.com/apps/Cascade/index.html?appid=7b98379452094cd6827dc8f09c8293bd" TargetMode="External"/><Relationship Id="rId26" Type="http://schemas.openxmlformats.org/officeDocument/2006/relationships/hyperlink" Target="http://mapwv.gov/flood/map/?wkid=102100&amp;x=-8957910&amp;y=4543190&amp;l=11&amp;v=2" TargetMode="External"/><Relationship Id="rId39" Type="http://schemas.openxmlformats.org/officeDocument/2006/relationships/hyperlink" Target="https://data.wvgis.wvu.edu/pub/RA/State/BL/Graphic/BL_Top_RES1_Damage_Loss_Estimate.pdf" TargetMode="External"/><Relationship Id="rId3" Type="http://schemas.openxmlformats.org/officeDocument/2006/relationships/styles" Target="styles.xml"/><Relationship Id="rId21" Type="http://schemas.openxmlformats.org/officeDocument/2006/relationships/hyperlink" Target="https://data.wvgis.wvu.edu/pub/RA/_resources/FloodTool/WV_Flood_Tool_High-Risk_Advisory_Zones.pdf" TargetMode="External"/><Relationship Id="rId34" Type="http://schemas.openxmlformats.org/officeDocument/2006/relationships/hyperlink" Target="https://data.wvgis.wvu.edu/pub/RA/State/BL/Graphic/RL_structures.pdf" TargetMode="External"/><Relationship Id="rId42" Type="http://schemas.openxmlformats.org/officeDocument/2006/relationships/hyperlink" Target="https://data.wvgis.wvu.edu/pub/RA/State/CL/Landslide/Reports/Landslide_Risk_Assessment_Report_Region_4.pdf" TargetMode="External"/><Relationship Id="rId47" Type="http://schemas.openxmlformats.org/officeDocument/2006/relationships/hyperlink" Target="https://data.wvgis.wvu.edu/pub/RA/State/BL/Extract/" TargetMode="External"/><Relationship Id="rId50"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mapwv.gov/flood" TargetMode="External"/><Relationship Id="rId17" Type="http://schemas.openxmlformats.org/officeDocument/2006/relationships/hyperlink" Target="https://wvu.maps.arcgis.com/apps/Cascade/index.html?appid=32292859b21b44e99c0be706f6da8aa3" TargetMode="External"/><Relationship Id="rId25" Type="http://schemas.openxmlformats.org/officeDocument/2006/relationships/image" Target="media/image4.png"/><Relationship Id="rId33" Type="http://schemas.openxmlformats.org/officeDocument/2006/relationships/hyperlink" Target="https://data.wvgis.wvu.edu/pub/RA/State/CL/Graphic/AoMI.pdf" TargetMode="External"/><Relationship Id="rId38" Type="http://schemas.openxmlformats.org/officeDocument/2006/relationships/hyperlink" Target="https://data.wvgis.wvu.edu/pub/RA/State/BL/Graphic/BL_Top_Damage_Loss_Estimate.pdf" TargetMode="External"/><Relationship Id="rId46" Type="http://schemas.openxmlformats.org/officeDocument/2006/relationships/hyperlink" Target="https://data.wvgis.wvu.edu/pub/RA/State/BL/Extract/" TargetMode="External"/><Relationship Id="rId2" Type="http://schemas.openxmlformats.org/officeDocument/2006/relationships/numbering" Target="numbering.xml"/><Relationship Id="rId16" Type="http://schemas.openxmlformats.org/officeDocument/2006/relationships/hyperlink" Target="https://www.fema.gov/sites/default/files/documents/Region_III_WV_FloodReport.pdf" TargetMode="External"/><Relationship Id="rId20" Type="http://schemas.openxmlformats.org/officeDocument/2006/relationships/hyperlink" Target="https://www.mapwv.gov/flood/map/?wkid=102100&amp;x=-8990998&amp;y=4575054&amp;l=8&amp;v=0" TargetMode="External"/><Relationship Id="rId29" Type="http://schemas.openxmlformats.org/officeDocument/2006/relationships/hyperlink" Target="https://data.wvgis.wvu.edu/pub/RA/_resources/status/Advisoy_A_and_AFH_Status.pdf" TargetMode="External"/><Relationship Id="rId41" Type="http://schemas.openxmlformats.org/officeDocument/2006/relationships/hyperlink" Target="https://data.wvgis.wvu.edu/pub/RA/_resources/Dam/WV_Dams_2019120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ata.wvgis.wvu.edu/pub/RA/_engage/_IndexDocs/" TargetMode="External"/><Relationship Id="rId24" Type="http://schemas.openxmlformats.org/officeDocument/2006/relationships/hyperlink" Target="http://www.wvculture.org/shpo/shpoindex.aspx" TargetMode="External"/><Relationship Id="rId32" Type="http://schemas.openxmlformats.org/officeDocument/2006/relationships/hyperlink" Target="https://data.wvgis.wvu.edu/pub/RA/State/CL/Mitigation/OSP/Reports/Fayette%20County%20(Mount%20Hope)/" TargetMode="External"/><Relationship Id="rId37" Type="http://schemas.openxmlformats.org/officeDocument/2006/relationships/hyperlink" Target="https://data.wvgis.wvu.edu/pub/RA/State/BL/Graphic/HWM_20201221.pdf" TargetMode="External"/><Relationship Id="rId40" Type="http://schemas.openxmlformats.org/officeDocument/2006/relationships/hyperlink" Target="https://data.wvgis.wvu.edu/pub/RA/State/BL/Graphic/BL_Damage_estimate_greater_50percent.pdf" TargetMode="External"/><Relationship Id="rId45" Type="http://schemas.openxmlformats.org/officeDocument/2006/relationships/hyperlink" Target="https://data.wvgis.wvu.edu/pub/RA/State/BL/BLRA/"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ata.wvgis.wvu.edu/pub/RA/State/BL/Graphic/HWM_20201221.pdf" TargetMode="External"/><Relationship Id="rId23" Type="http://schemas.openxmlformats.org/officeDocument/2006/relationships/hyperlink" Target="https://www.fema.gov/glossary/critical-facility" TargetMode="External"/><Relationship Id="rId28" Type="http://schemas.openxmlformats.org/officeDocument/2006/relationships/hyperlink" Target="http://www.mapwv.gov/flood/content/documents/AFHhandout.pdf" TargetMode="External"/><Relationship Id="rId36" Type="http://schemas.openxmlformats.org/officeDocument/2006/relationships/hyperlink" Target="https://data.wvgis.wvu.edu/pub/RA/State/BL/Graphic/REG4_post-FIRM_water_depth_20211014.pdf" TargetMode="External"/><Relationship Id="rId49" Type="http://schemas.openxmlformats.org/officeDocument/2006/relationships/hyperlink" Target="https://data.wvgis.wvu.edu/pub/RA/State/CL/Matrix/" TargetMode="External"/><Relationship Id="rId10" Type="http://schemas.openxmlformats.org/officeDocument/2006/relationships/footer" Target="footer2.xml"/><Relationship Id="rId19" Type="http://schemas.openxmlformats.org/officeDocument/2006/relationships/hyperlink" Target="https://data.wvgis.wvu.edu/pub/RA/_resources/status/WV_FloodStudies.pdf" TargetMode="External"/><Relationship Id="rId31" Type="http://schemas.openxmlformats.org/officeDocument/2006/relationships/hyperlink" Target="https://www.theintelligencer.net/news/top-headlines/2021/12/rise-wv-program-is-investigated/" TargetMode="External"/><Relationship Id="rId44" Type="http://schemas.openxmlformats.org/officeDocument/2006/relationships/hyperlink" Target="https://data.wvgis.wvu.edu/pub/RA/State/BL/BLRA/"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data.wvgis.wvu.edu/pub/RA/_engage/_IndexDocs/BLRA_cycle/" TargetMode="External"/><Relationship Id="rId22" Type="http://schemas.openxmlformats.org/officeDocument/2006/relationships/image" Target="media/image3.png"/><Relationship Id="rId27" Type="http://schemas.openxmlformats.org/officeDocument/2006/relationships/hyperlink" Target="https://data.wvgis.wvu.edu/pub/RA/_resources/FRA/Basement-Foundation_Types-FFH_Reference.xlsx" TargetMode="External"/><Relationship Id="rId30" Type="http://schemas.openxmlformats.org/officeDocument/2006/relationships/hyperlink" Target="https://www.fema.gov/sites/default/files/documents/Region_III_WV_FloodReport.pdf" TargetMode="External"/><Relationship Id="rId35" Type="http://schemas.openxmlformats.org/officeDocument/2006/relationships/hyperlink" Target="https://data.wvgis.wvu.edu/pub/RA/State/CL/Graphic/Buyouts.pdf" TargetMode="External"/><Relationship Id="rId43" Type="http://schemas.openxmlformats.org/officeDocument/2006/relationships/hyperlink" Target="https://data.wvgis.wvu.edu/pub/RA/State/BL/BLRA/WV/" TargetMode="External"/><Relationship Id="rId48" Type="http://schemas.openxmlformats.org/officeDocument/2006/relationships/hyperlink" Target="https://data.wvgis.wvu.edu/pub/RA/State/BL/Top-List/Top100/" TargetMode="External"/><Relationship Id="rId8" Type="http://schemas.openxmlformats.org/officeDocument/2006/relationships/image" Target="media/image1.png"/><Relationship Id="rId5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258A7D-1C24-4C92-AF45-58D09B7BB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8608</Words>
  <Characters>56214</Characters>
  <Application>Microsoft Office Word</Application>
  <DocSecurity>0</DocSecurity>
  <Lines>921</Lines>
  <Paragraphs>192</Paragraphs>
  <ScaleCrop>false</ScaleCrop>
  <HeadingPairs>
    <vt:vector size="2" baseType="variant">
      <vt:variant>
        <vt:lpstr>Title</vt:lpstr>
      </vt:variant>
      <vt:variant>
        <vt:i4>1</vt:i4>
      </vt:variant>
    </vt:vector>
  </HeadingPairs>
  <TitlesOfParts>
    <vt:vector size="1" baseType="lpstr">
      <vt:lpstr>Region 4 Risk Assessment Report</vt:lpstr>
    </vt:vector>
  </TitlesOfParts>
  <Company/>
  <LinksUpToDate>false</LinksUpToDate>
  <CharactersWithSpaces>64630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 4 Risk Assessment Report</dc:title>
  <dc:subject>d-r-a-f-t</dc:subject>
  <dc:creator>2/9/2022</dc:creator>
  <cp:keywords/>
  <dc:description/>
  <cp:lastModifiedBy>Kurt Donaldson</cp:lastModifiedBy>
  <cp:revision>2</cp:revision>
  <dcterms:created xsi:type="dcterms:W3CDTF">2022-09-21T15:09:00Z</dcterms:created>
  <dcterms:modified xsi:type="dcterms:W3CDTF">2022-09-21T15:09:00Z</dcterms:modified>
</cp:coreProperties>
</file>