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98734036" w:displacedByCustomXml="next"/>
    <w:bookmarkStart w:id="1" w:name="_Toc389653725" w:displacedByCustomXml="next"/>
    <w:bookmarkStart w:id="2" w:name="_Toc384637606" w:displacedByCustomXml="next"/>
    <w:sdt>
      <w:sdtPr>
        <w:id w:val="-647907200"/>
        <w:docPartObj>
          <w:docPartGallery w:val="Cover Pages"/>
          <w:docPartUnique/>
        </w:docPartObj>
      </w:sdtPr>
      <w:sdtEndPr>
        <w:rPr>
          <w:rFonts w:ascii="Calibri" w:hAnsi="Calibri"/>
          <w:b/>
          <w:bCs/>
          <w:i/>
          <w:iCs/>
          <w:sz w:val="22"/>
          <w:szCs w:val="22"/>
        </w:rPr>
      </w:sdtEndPr>
      <w:sdtContent>
        <w:p w:rsidR="00884E7D" w:rsidRPr="004004F4" w:rsidRDefault="00884E7D" w:rsidP="004004F4">
          <w:pPr>
            <w:spacing w:line="276" w:lineRule="auto"/>
            <w:jc w:val="center"/>
            <w:rPr>
              <w:sz w:val="48"/>
            </w:rPr>
          </w:pPr>
        </w:p>
        <w:p w:rsidR="00884E7D" w:rsidRDefault="00E12A5D">
          <w:pPr>
            <w:rPr>
              <w:rFonts w:ascii="Calibri" w:hAnsi="Calibri"/>
              <w:b/>
              <w:bCs/>
              <w:i/>
              <w:iCs/>
              <w:sz w:val="22"/>
              <w:szCs w:val="22"/>
            </w:rPr>
          </w:pPr>
          <w:r>
            <w:rPr>
              <w:rFonts w:ascii="Calibri" w:hAnsi="Calibri"/>
              <w:b/>
              <w:bCs/>
              <w:i/>
              <w:iCs/>
              <w:noProof/>
              <w:sz w:val="22"/>
              <w:szCs w:val="22"/>
            </w:rPr>
            <mc:AlternateContent>
              <mc:Choice Requires="wps">
                <w:drawing>
                  <wp:anchor distT="45720" distB="45720" distL="114300" distR="114300" simplePos="0" relativeHeight="251668480" behindDoc="0" locked="0" layoutInCell="1" allowOverlap="1" wp14:anchorId="02438B55" wp14:editId="7444EF80">
                    <wp:simplePos x="0" y="0"/>
                    <wp:positionH relativeFrom="column">
                      <wp:posOffset>219075</wp:posOffset>
                    </wp:positionH>
                    <wp:positionV relativeFrom="paragraph">
                      <wp:posOffset>4396740</wp:posOffset>
                    </wp:positionV>
                    <wp:extent cx="5676900" cy="508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8635"/>
                            </a:xfrm>
                            <a:prstGeom prst="rect">
                              <a:avLst/>
                            </a:prstGeom>
                            <a:solidFill>
                              <a:srgbClr val="FFFFFF"/>
                            </a:solidFill>
                            <a:ln w="9525">
                              <a:noFill/>
                              <a:miter lim="800000"/>
                              <a:headEnd/>
                              <a:tailEnd/>
                            </a:ln>
                          </wps:spPr>
                          <wps:txbx>
                            <w:txbxContent>
                              <w:p w:rsidR="001C3D1C" w:rsidRPr="00B939DF" w:rsidRDefault="001C3D1C" w:rsidP="00B939DF">
                                <w:pPr>
                                  <w:jc w:val="center"/>
                                  <w:rPr>
                                    <w:sz w:val="40"/>
                                  </w:rPr>
                                </w:pPr>
                                <w:r>
                                  <w:rPr>
                                    <w:sz w:val="40"/>
                                  </w:rPr>
                                  <w:t>Support for Hazard Mitigation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438B55" id="_x0000_t202" coordsize="21600,21600" o:spt="202" path="m,l,21600r21600,l21600,xe">
                    <v:stroke joinstyle="miter"/>
                    <v:path gradientshapeok="t" o:connecttype="rect"/>
                  </v:shapetype>
                  <v:shape id="Text Box 2" o:spid="_x0000_s1026" type="#_x0000_t202" style="position:absolute;margin-left:17.25pt;margin-top:346.2pt;width:447pt;height:40.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YJA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" stroked="f">
                    <v:textbox style="mso-fit-shape-to-text:t">
                      <w:txbxContent>
                        <w:p w:rsidR="001C3D1C" w:rsidRPr="00B939DF" w:rsidRDefault="001C3D1C" w:rsidP="00B939DF">
                          <w:pPr>
                            <w:jc w:val="center"/>
                            <w:rPr>
                              <w:sz w:val="40"/>
                            </w:rPr>
                          </w:pPr>
                          <w:r>
                            <w:rPr>
                              <w:sz w:val="40"/>
                            </w:rPr>
                            <w:t>Support for Hazard Mitigation Plans</w:t>
                          </w:r>
                        </w:p>
                      </w:txbxContent>
                    </v:textbox>
                    <w10:wrap type="square"/>
                  </v:shape>
                </w:pict>
              </mc:Fallback>
            </mc:AlternateContent>
          </w:r>
          <w:r>
            <w:rPr>
              <w:rFonts w:ascii="Calibri" w:hAnsi="Calibri"/>
              <w:b/>
              <w:bCs/>
              <w:i/>
              <w:iCs/>
              <w:noProof/>
              <w:sz w:val="22"/>
              <w:szCs w:val="22"/>
            </w:rPr>
            <mc:AlternateContent>
              <mc:Choice Requires="wps">
                <w:drawing>
                  <wp:anchor distT="91440" distB="91440" distL="114300" distR="114300" simplePos="0" relativeHeight="251664384" behindDoc="0" locked="0" layoutInCell="1" allowOverlap="1" wp14:anchorId="13A5077A" wp14:editId="3D1C952F">
                    <wp:simplePos x="0" y="0"/>
                    <wp:positionH relativeFrom="page">
                      <wp:posOffset>923925</wp:posOffset>
                    </wp:positionH>
                    <wp:positionV relativeFrom="paragraph">
                      <wp:posOffset>276860</wp:posOffset>
                    </wp:positionV>
                    <wp:extent cx="6105525" cy="52578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257800"/>
                            </a:xfrm>
                            <a:prstGeom prst="rect">
                              <a:avLst/>
                            </a:prstGeom>
                            <a:noFill/>
                            <a:ln w="9525">
                              <a:noFill/>
                              <a:miter lim="800000"/>
                              <a:headEnd/>
                              <a:tailEnd/>
                            </a:ln>
                          </wps:spPr>
                          <wps:txbx>
                            <w:txbxContent>
                              <w:p w:rsidR="001C3D1C" w:rsidRPr="002C165E" w:rsidRDefault="007E4262"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158341147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C3D1C" w:rsidRPr="002C165E">
                                      <w:rPr>
                                        <w:caps/>
                                        <w:color w:val="000000" w:themeColor="text1"/>
                                        <w:sz w:val="64"/>
                                        <w:szCs w:val="64"/>
                                      </w:rPr>
                                      <w:t xml:space="preserve">Flood Risk </w:t>
                                    </w:r>
                                    <w:r w:rsidR="001C3D1C">
                                      <w:rPr>
                                        <w:caps/>
                                        <w:color w:val="000000" w:themeColor="text1"/>
                                        <w:sz w:val="64"/>
                                        <w:szCs w:val="64"/>
                                      </w:rPr>
                                      <w:t>aSSESSMENT</w:t>
                                    </w:r>
                                    <w:r w:rsidR="001C3D1C" w:rsidRPr="002C165E">
                                      <w:rPr>
                                        <w:caps/>
                                        <w:color w:val="000000" w:themeColor="text1"/>
                                        <w:sz w:val="64"/>
                                        <w:szCs w:val="64"/>
                                      </w:rPr>
                                      <w:t xml:space="preserve"> </w:t>
                                    </w:r>
                                    <w:r w:rsidR="001C3D1C">
                                      <w:rPr>
                                        <w:caps/>
                                        <w:color w:val="000000" w:themeColor="text1"/>
                                        <w:sz w:val="64"/>
                                        <w:szCs w:val="64"/>
                                      </w:rPr>
                                      <w:br/>
                                    </w:r>
                                    <w:r w:rsidR="001C3D1C">
                                      <w:rPr>
                                        <w:color w:val="000000" w:themeColor="text1"/>
                                        <w:sz w:val="64"/>
                                        <w:szCs w:val="64"/>
                                      </w:rPr>
                                      <w:t>METHODOLOGY</w:t>
                                    </w:r>
                                  </w:sdtContent>
                                </w:sdt>
                              </w:p>
                              <w:p w:rsidR="001C3D1C" w:rsidRDefault="001C3D1C" w:rsidP="00DB4F99">
                                <w:pPr>
                                  <w:pBdr>
                                    <w:top w:val="single" w:sz="24" w:space="8" w:color="7D110C" w:themeColor="accent1"/>
                                    <w:bottom w:val="single" w:sz="24" w:space="8" w:color="7D110C" w:themeColor="accent1"/>
                                  </w:pBdr>
                                  <w:jc w:val="center"/>
                                  <w:rPr>
                                    <w:noProof/>
                                  </w:rPr>
                                </w:pPr>
                                <w:r>
                                  <w:rPr>
                                    <w:noProof/>
                                  </w:rPr>
                                  <w:drawing>
                                    <wp:inline distT="0" distB="0" distL="0" distR="0" wp14:anchorId="6F589D78" wp14:editId="359E08FE">
                                      <wp:extent cx="5685155" cy="2712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5155" cy="2712720"/>
                                              </a:xfrm>
                                              <a:prstGeom prst="rect">
                                                <a:avLst/>
                                              </a:prstGeom>
                                            </pic:spPr>
                                          </pic:pic>
                                        </a:graphicData>
                                      </a:graphic>
                                    </wp:inline>
                                  </w:drawing>
                                </w:r>
                              </w:p>
                              <w:p w:rsidR="001C3D1C" w:rsidRDefault="001C3D1C" w:rsidP="00DB4F99">
                                <w:pPr>
                                  <w:pBdr>
                                    <w:top w:val="single" w:sz="24" w:space="8" w:color="7D110C" w:themeColor="accent1"/>
                                    <w:bottom w:val="single" w:sz="24" w:space="8" w:color="7D110C" w:themeColor="accent1"/>
                                  </w:pBdr>
                                  <w:jc w:val="center"/>
                                  <w:rPr>
                                    <w:noProof/>
                                  </w:rPr>
                                </w:pPr>
                              </w:p>
                              <w:p w:rsidR="001C3D1C" w:rsidRDefault="001C3D1C" w:rsidP="00DB4F99">
                                <w:pPr>
                                  <w:pBdr>
                                    <w:top w:val="single" w:sz="24" w:space="8" w:color="7D110C" w:themeColor="accent1"/>
                                    <w:bottom w:val="single" w:sz="24" w:space="8" w:color="7D110C" w:themeColor="accent1"/>
                                  </w:pBdr>
                                  <w:jc w:val="center"/>
                                  <w:rPr>
                                    <w:noProof/>
                                  </w:rPr>
                                </w:pPr>
                              </w:p>
                              <w:p w:rsidR="001C3D1C" w:rsidRDefault="001C3D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5077A" id="_x0000_s1027" type="#_x0000_t202" style="position:absolute;margin-left:72.75pt;margin-top:21.8pt;width:480.75pt;height:414pt;z-index:25166438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" filled="f" stroked="f">
                    <v:textbox>
                      <w:txbxContent>
                        <w:p w:rsidR="001C3D1C" w:rsidRPr="002C165E" w:rsidRDefault="00D93BE7"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158341147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C3D1C" w:rsidRPr="002C165E">
                                <w:rPr>
                                  <w:caps/>
                                  <w:color w:val="000000" w:themeColor="text1"/>
                                  <w:sz w:val="64"/>
                                  <w:szCs w:val="64"/>
                                </w:rPr>
                                <w:t xml:space="preserve">Flood Risk </w:t>
                              </w:r>
                              <w:r w:rsidR="001C3D1C">
                                <w:rPr>
                                  <w:caps/>
                                  <w:color w:val="000000" w:themeColor="text1"/>
                                  <w:sz w:val="64"/>
                                  <w:szCs w:val="64"/>
                                </w:rPr>
                                <w:t>aSSESSMENT</w:t>
                              </w:r>
                              <w:r w:rsidR="001C3D1C" w:rsidRPr="002C165E">
                                <w:rPr>
                                  <w:caps/>
                                  <w:color w:val="000000" w:themeColor="text1"/>
                                  <w:sz w:val="64"/>
                                  <w:szCs w:val="64"/>
                                </w:rPr>
                                <w:t xml:space="preserve"> </w:t>
                              </w:r>
                              <w:r w:rsidR="001C3D1C">
                                <w:rPr>
                                  <w:caps/>
                                  <w:color w:val="000000" w:themeColor="text1"/>
                                  <w:sz w:val="64"/>
                                  <w:szCs w:val="64"/>
                                </w:rPr>
                                <w:br/>
                              </w:r>
                              <w:r w:rsidR="001C3D1C">
                                <w:rPr>
                                  <w:color w:val="000000" w:themeColor="text1"/>
                                  <w:sz w:val="64"/>
                                  <w:szCs w:val="64"/>
                                </w:rPr>
                                <w:t>METHODOLOGY</w:t>
                              </w:r>
                            </w:sdtContent>
                          </w:sdt>
                        </w:p>
                        <w:p w:rsidR="001C3D1C" w:rsidRDefault="001C3D1C" w:rsidP="00DB4F99">
                          <w:pPr>
                            <w:pBdr>
                              <w:top w:val="single" w:sz="24" w:space="8" w:color="7D110C" w:themeColor="accent1"/>
                              <w:bottom w:val="single" w:sz="24" w:space="8" w:color="7D110C" w:themeColor="accent1"/>
                            </w:pBdr>
                            <w:jc w:val="center"/>
                            <w:rPr>
                              <w:noProof/>
                            </w:rPr>
                          </w:pPr>
                          <w:r>
                            <w:rPr>
                              <w:noProof/>
                            </w:rPr>
                            <w:drawing>
                              <wp:inline distT="0" distB="0" distL="0" distR="0" wp14:anchorId="6F589D78" wp14:editId="359E08FE">
                                <wp:extent cx="5685155" cy="2712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5155" cy="2712720"/>
                                        </a:xfrm>
                                        <a:prstGeom prst="rect">
                                          <a:avLst/>
                                        </a:prstGeom>
                                      </pic:spPr>
                                    </pic:pic>
                                  </a:graphicData>
                                </a:graphic>
                              </wp:inline>
                            </w:drawing>
                          </w:r>
                        </w:p>
                        <w:p w:rsidR="001C3D1C" w:rsidRDefault="001C3D1C" w:rsidP="00DB4F99">
                          <w:pPr>
                            <w:pBdr>
                              <w:top w:val="single" w:sz="24" w:space="8" w:color="7D110C" w:themeColor="accent1"/>
                              <w:bottom w:val="single" w:sz="24" w:space="8" w:color="7D110C" w:themeColor="accent1"/>
                            </w:pBdr>
                            <w:jc w:val="center"/>
                            <w:rPr>
                              <w:noProof/>
                            </w:rPr>
                          </w:pPr>
                        </w:p>
                        <w:p w:rsidR="001C3D1C" w:rsidRDefault="001C3D1C" w:rsidP="00DB4F99">
                          <w:pPr>
                            <w:pBdr>
                              <w:top w:val="single" w:sz="24" w:space="8" w:color="7D110C" w:themeColor="accent1"/>
                              <w:bottom w:val="single" w:sz="24" w:space="8" w:color="7D110C" w:themeColor="accent1"/>
                            </w:pBdr>
                            <w:jc w:val="center"/>
                            <w:rPr>
                              <w:noProof/>
                            </w:rPr>
                          </w:pPr>
                        </w:p>
                        <w:p w:rsidR="001C3D1C" w:rsidRDefault="001C3D1C"/>
                      </w:txbxContent>
                    </v:textbox>
                    <w10:wrap type="topAndBottom" anchorx="page"/>
                  </v:shape>
                </w:pict>
              </mc:Fallback>
            </mc:AlternateContent>
          </w:r>
          <w:r>
            <w:rPr>
              <w:rFonts w:ascii="Calibri" w:hAnsi="Calibri"/>
              <w:b/>
              <w:bCs/>
              <w:i/>
              <w:iCs/>
              <w:noProof/>
              <w:sz w:val="22"/>
              <w:szCs w:val="22"/>
            </w:rPr>
            <mc:AlternateContent>
              <mc:Choice Requires="wps">
                <w:drawing>
                  <wp:anchor distT="45720" distB="45720" distL="114300" distR="114300" simplePos="0" relativeHeight="251672576" behindDoc="0" locked="0" layoutInCell="1" allowOverlap="1" wp14:anchorId="0C93F8F4" wp14:editId="23C26A0E">
                    <wp:simplePos x="0" y="0"/>
                    <wp:positionH relativeFrom="margin">
                      <wp:posOffset>3516630</wp:posOffset>
                    </wp:positionH>
                    <wp:positionV relativeFrom="paragraph">
                      <wp:posOffset>5768340</wp:posOffset>
                    </wp:positionV>
                    <wp:extent cx="2376170" cy="30480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4800"/>
                            </a:xfrm>
                            <a:prstGeom prst="rect">
                              <a:avLst/>
                            </a:prstGeom>
                            <a:solidFill>
                              <a:srgbClr val="FFFFFF"/>
                            </a:solidFill>
                            <a:ln w="9525">
                              <a:noFill/>
                              <a:miter lim="800000"/>
                              <a:headEnd/>
                              <a:tailEnd/>
                            </a:ln>
                          </wps:spPr>
                          <wps:txbx>
                            <w:txbxContent>
                              <w:p w:rsidR="001C3D1C" w:rsidRPr="00CE4D37" w:rsidRDefault="00EB333E" w:rsidP="00CE4D37">
                                <w:pPr>
                                  <w:pStyle w:val="NoSpacing"/>
                                  <w:jc w:val="right"/>
                                  <w:rPr>
                                    <w:b/>
                                    <w:color w:val="7D110C" w:themeColor="accent1"/>
                                    <w:sz w:val="28"/>
                                    <w:szCs w:val="28"/>
                                  </w:rPr>
                                </w:pPr>
                                <w:r>
                                  <w:rPr>
                                    <w:b/>
                                    <w:color w:val="7D110C" w:themeColor="accent1"/>
                                    <w:sz w:val="28"/>
                                    <w:szCs w:val="28"/>
                                  </w:rPr>
                                  <w:t xml:space="preserve">August </w:t>
                                </w:r>
                                <w:r w:rsidR="00C67925">
                                  <w:rPr>
                                    <w:b/>
                                    <w:color w:val="7D110C" w:themeColor="accent1"/>
                                    <w:sz w:val="28"/>
                                    <w:szCs w:val="28"/>
                                  </w:rPr>
                                  <w:t>25</w:t>
                                </w:r>
                                <w:r w:rsidR="001C3D1C">
                                  <w:rPr>
                                    <w:b/>
                                    <w:color w:val="7D110C" w:themeColor="accent1"/>
                                    <w:sz w:val="28"/>
                                    <w:szCs w:val="28"/>
                                  </w:rPr>
                                  <w:t>, 2020</w:t>
                                </w:r>
                              </w:p>
                              <w:p w:rsidR="001C3D1C" w:rsidRDefault="001C3D1C" w:rsidP="00CE4D37">
                                <w:pPr>
                                  <w:pStyle w:val="NoSpacing"/>
                                  <w:jc w:val="right"/>
                                  <w:rPr>
                                    <w:color w:val="7D110C" w:themeColor="accent1"/>
                                    <w:sz w:val="28"/>
                                    <w:szCs w:val="28"/>
                                  </w:rPr>
                                </w:pPr>
                              </w:p>
                              <w:p w:rsidR="001C3D1C" w:rsidRDefault="001C3D1C"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1C3D1C" w:rsidRDefault="001C3D1C" w:rsidP="00CE4D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C93F8F4" id="_x0000_t202" coordsize="21600,21600" o:spt="202" path="m,l,21600r21600,l21600,xe">
                    <v:stroke joinstyle="miter"/>
                    <v:path gradientshapeok="t" o:connecttype="rect"/>
                  </v:shapetype>
                  <v:shape id="_x0000_s1028" type="#_x0000_t202" style="position:absolute;margin-left:276.9pt;margin-top:454.2pt;width:187.1pt;height:24pt;z-index:2516725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" stroked="f">
                    <v:textbox>
                      <w:txbxContent>
                        <w:p w:rsidR="001C3D1C" w:rsidRPr="00CE4D37" w:rsidRDefault="00EB333E" w:rsidP="00CE4D37">
                          <w:pPr>
                            <w:pStyle w:val="NoSpacing"/>
                            <w:jc w:val="right"/>
                            <w:rPr>
                              <w:b/>
                              <w:color w:val="7D110C" w:themeColor="accent1"/>
                              <w:sz w:val="28"/>
                              <w:szCs w:val="28"/>
                            </w:rPr>
                          </w:pPr>
                          <w:r>
                            <w:rPr>
                              <w:b/>
                              <w:color w:val="7D110C" w:themeColor="accent1"/>
                              <w:sz w:val="28"/>
                              <w:szCs w:val="28"/>
                            </w:rPr>
                            <w:t xml:space="preserve">August </w:t>
                          </w:r>
                          <w:r w:rsidR="00C67925">
                            <w:rPr>
                              <w:b/>
                              <w:color w:val="7D110C" w:themeColor="accent1"/>
                              <w:sz w:val="28"/>
                              <w:szCs w:val="28"/>
                            </w:rPr>
                            <w:t>25</w:t>
                          </w:r>
                          <w:r w:rsidR="001C3D1C">
                            <w:rPr>
                              <w:b/>
                              <w:color w:val="7D110C" w:themeColor="accent1"/>
                              <w:sz w:val="28"/>
                              <w:szCs w:val="28"/>
                            </w:rPr>
                            <w:t>, 2020</w:t>
                          </w:r>
                        </w:p>
                        <w:p w:rsidR="001C3D1C" w:rsidRDefault="001C3D1C" w:rsidP="00CE4D37">
                          <w:pPr>
                            <w:pStyle w:val="NoSpacing"/>
                            <w:jc w:val="right"/>
                            <w:rPr>
                              <w:color w:val="7D110C" w:themeColor="accent1"/>
                              <w:sz w:val="28"/>
                              <w:szCs w:val="28"/>
                            </w:rPr>
                          </w:pPr>
                        </w:p>
                        <w:p w:rsidR="001C3D1C" w:rsidRDefault="001C3D1C"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1C3D1C" w:rsidRDefault="001C3D1C" w:rsidP="00CE4D37"/>
                      </w:txbxContent>
                    </v:textbox>
                    <w10:wrap type="square" anchorx="margin"/>
                  </v:shape>
                </w:pict>
              </mc:Fallback>
            </mc:AlternateContent>
          </w:r>
          <w:r w:rsidR="00A20598">
            <w:rPr>
              <w:rFonts w:ascii="Calibri" w:hAnsi="Calibri"/>
              <w:b/>
              <w:bCs/>
              <w:i/>
              <w:iCs/>
              <w:noProof/>
              <w:sz w:val="22"/>
              <w:szCs w:val="22"/>
            </w:rPr>
            <mc:AlternateContent>
              <mc:Choice Requires="wps">
                <w:drawing>
                  <wp:anchor distT="45720" distB="45720" distL="114300" distR="114300" simplePos="0" relativeHeight="251670528" behindDoc="0" locked="0" layoutInCell="1" allowOverlap="1" wp14:anchorId="746B6483" wp14:editId="56FBF617">
                    <wp:simplePos x="0" y="0"/>
                    <wp:positionH relativeFrom="margin">
                      <wp:posOffset>2543175</wp:posOffset>
                    </wp:positionH>
                    <wp:positionV relativeFrom="paragraph">
                      <wp:posOffset>6337935</wp:posOffset>
                    </wp:positionV>
                    <wp:extent cx="3373755" cy="16478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47825"/>
                            </a:xfrm>
                            <a:prstGeom prst="rect">
                              <a:avLst/>
                            </a:prstGeom>
                            <a:solidFill>
                              <a:srgbClr val="FFFFFF"/>
                            </a:solidFill>
                            <a:ln w="9525">
                              <a:noFill/>
                              <a:miter lim="800000"/>
                              <a:headEnd/>
                              <a:tailEnd/>
                            </a:ln>
                          </wps:spPr>
                          <wps:txbx>
                            <w:txbxContent>
                              <w:p w:rsidR="007E4262" w:rsidRDefault="001C3D1C"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3E15C3">
                                  <w:rPr>
                                    <w:color w:val="7D110C" w:themeColor="accent1"/>
                                    <w:sz w:val="24"/>
                                    <w:szCs w:val="24"/>
                                  </w:rPr>
                                  <w:t>Kurt Donaldson</w:t>
                                </w:r>
                                <w:r>
                                  <w:rPr>
                                    <w:color w:val="7D110C" w:themeColor="accent1"/>
                                    <w:sz w:val="24"/>
                                    <w:szCs w:val="24"/>
                                  </w:rPr>
                                  <w:br/>
                                  <w:t>Maneesh Sharma</w:t>
                                </w:r>
                                <w:r>
                                  <w:rPr>
                                    <w:b/>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r>
                                <w:r w:rsidR="007E4262" w:rsidRPr="00B70814">
                                  <w:rPr>
                                    <w:color w:val="7D110C" w:themeColor="accent1"/>
                                    <w:sz w:val="24"/>
                                    <w:szCs w:val="24"/>
                                  </w:rPr>
                                  <w:t>330 Brooks Hall, PO Box 6300</w:t>
                                </w:r>
                              </w:p>
                              <w:p w:rsidR="001C3D1C" w:rsidRPr="00B70814" w:rsidRDefault="001C3D1C" w:rsidP="00CE4D37">
                                <w:pPr>
                                  <w:pStyle w:val="NoSpacing"/>
                                  <w:jc w:val="right"/>
                                  <w:rPr>
                                    <w:color w:val="7D110C" w:themeColor="accent1"/>
                                    <w:sz w:val="24"/>
                                    <w:szCs w:val="24"/>
                                  </w:rPr>
                                </w:pPr>
                                <w:r w:rsidRPr="00B70814">
                                  <w:rPr>
                                    <w:color w:val="7D110C" w:themeColor="accent1"/>
                                    <w:sz w:val="24"/>
                                    <w:szCs w:val="24"/>
                                  </w:rPr>
                                  <w:t>West Virginia University</w:t>
                                </w:r>
                              </w:p>
                              <w:p w:rsidR="001C3D1C" w:rsidRDefault="001C3D1C" w:rsidP="00CE4D37">
                                <w:pPr>
                                  <w:pStyle w:val="NoSpacing"/>
                                  <w:jc w:val="right"/>
                                  <w:rPr>
                                    <w:color w:val="7D110C" w:themeColor="accent1"/>
                                    <w:sz w:val="28"/>
                                    <w:szCs w:val="28"/>
                                  </w:rPr>
                                </w:pP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1C3D1C" w:rsidRDefault="001C3D1C"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1C3D1C" w:rsidRDefault="001C3D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B6483" id="_x0000_s1029" type="#_x0000_t202" style="position:absolute;margin-left:200.25pt;margin-top:499.05pt;width:265.65pt;height:12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" stroked="f">
                    <v:textbox>
                      <w:txbxContent>
                        <w:p w:rsidR="007E4262" w:rsidRDefault="001C3D1C"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3E15C3">
                            <w:rPr>
                              <w:color w:val="7D110C" w:themeColor="accent1"/>
                              <w:sz w:val="24"/>
                              <w:szCs w:val="24"/>
                            </w:rPr>
                            <w:t>Kurt Donaldson</w:t>
                          </w:r>
                          <w:r>
                            <w:rPr>
                              <w:color w:val="7D110C" w:themeColor="accent1"/>
                              <w:sz w:val="24"/>
                              <w:szCs w:val="24"/>
                            </w:rPr>
                            <w:br/>
                            <w:t>Maneesh Sharma</w:t>
                          </w:r>
                          <w:r>
                            <w:rPr>
                              <w:b/>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r>
                          <w:r w:rsidR="007E4262" w:rsidRPr="00B70814">
                            <w:rPr>
                              <w:color w:val="7D110C" w:themeColor="accent1"/>
                              <w:sz w:val="24"/>
                              <w:szCs w:val="24"/>
                            </w:rPr>
                            <w:t>330 Brooks Hall, PO Box 6300</w:t>
                          </w:r>
                        </w:p>
                        <w:p w:rsidR="001C3D1C" w:rsidRPr="00B70814" w:rsidRDefault="001C3D1C" w:rsidP="00CE4D37">
                          <w:pPr>
                            <w:pStyle w:val="NoSpacing"/>
                            <w:jc w:val="right"/>
                            <w:rPr>
                              <w:color w:val="7D110C" w:themeColor="accent1"/>
                              <w:sz w:val="24"/>
                              <w:szCs w:val="24"/>
                            </w:rPr>
                          </w:pPr>
                          <w:r w:rsidRPr="00B70814">
                            <w:rPr>
                              <w:color w:val="7D110C" w:themeColor="accent1"/>
                              <w:sz w:val="24"/>
                              <w:szCs w:val="24"/>
                            </w:rPr>
                            <w:t>West Virginia University</w:t>
                          </w:r>
                        </w:p>
                        <w:p w:rsidR="001C3D1C" w:rsidRDefault="001C3D1C" w:rsidP="00CE4D37">
                          <w:pPr>
                            <w:pStyle w:val="NoSpacing"/>
                            <w:jc w:val="right"/>
                            <w:rPr>
                              <w:color w:val="7D110C" w:themeColor="accent1"/>
                              <w:sz w:val="28"/>
                              <w:szCs w:val="28"/>
                            </w:rPr>
                          </w:pP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1C3D1C" w:rsidRDefault="001C3D1C"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1C3D1C" w:rsidRDefault="001C3D1C"/>
                      </w:txbxContent>
                    </v:textbox>
                    <w10:wrap type="square" anchorx="margin"/>
                  </v:shape>
                </w:pict>
              </mc:Fallback>
            </mc:AlternateContent>
          </w:r>
          <w:r w:rsidR="00884E7D">
            <w:rPr>
              <w:rFonts w:ascii="Calibri" w:hAnsi="Calibri"/>
              <w:b/>
              <w:bCs/>
              <w:i/>
              <w:iCs/>
              <w:sz w:val="22"/>
              <w:szCs w:val="22"/>
            </w:rPr>
            <w:br w:type="page"/>
          </w:r>
        </w:p>
      </w:sdtContent>
    </w:sdt>
    <w:p w:rsidR="0019224C" w:rsidRDefault="0019224C">
      <w:pPr>
        <w:rPr>
          <w:rStyle w:val="Strong"/>
        </w:rPr>
        <w:sectPr w:rsidR="0019224C" w:rsidSect="00686D7B">
          <w:footerReference w:type="default" r:id="rId10"/>
          <w:footerReference w:type="first" r:id="rId11"/>
          <w:pgSz w:w="12240" w:h="15840" w:code="1"/>
          <w:pgMar w:top="1440" w:right="1440" w:bottom="1152" w:left="1440" w:header="720" w:footer="720" w:gutter="0"/>
          <w:pgNumType w:fmt="lowerRoman" w:start="0"/>
          <w:cols w:space="720"/>
          <w:titlePg/>
          <w:docGrid w:linePitch="360"/>
        </w:sectPr>
      </w:pPr>
      <w:bookmarkStart w:id="3" w:name="_GoBack"/>
      <w:bookmarkEnd w:id="3"/>
    </w:p>
    <w:p w:rsidR="0019224C" w:rsidRDefault="00655B64">
      <w:pPr>
        <w:rPr>
          <w:rStyle w:val="Strong"/>
        </w:rPr>
      </w:pPr>
      <w:r w:rsidRPr="00686D7B">
        <w:rPr>
          <w:rStyle w:val="Heading8Char"/>
          <w:noProof/>
        </w:rPr>
        <w:lastRenderedPageBreak/>
        <mc:AlternateContent>
          <mc:Choice Requires="wps">
            <w:drawing>
              <wp:anchor distT="91440" distB="91440" distL="365760" distR="365760" simplePos="0" relativeHeight="251685888" behindDoc="0" locked="0" layoutInCell="1" allowOverlap="1" wp14:anchorId="1B1CBDFA" wp14:editId="38B0EFB2">
                <wp:simplePos x="0" y="0"/>
                <wp:positionH relativeFrom="margin">
                  <wp:posOffset>561975</wp:posOffset>
                </wp:positionH>
                <wp:positionV relativeFrom="margin">
                  <wp:posOffset>2009775</wp:posOffset>
                </wp:positionV>
                <wp:extent cx="4791075" cy="2066290"/>
                <wp:effectExtent l="0" t="0" r="0" b="10160"/>
                <wp:wrapTopAndBottom/>
                <wp:docPr id="146" name="Rectangle 146"/>
                <wp:cNvGraphicFramePr/>
                <a:graphic xmlns:a="http://schemas.openxmlformats.org/drawingml/2006/main">
                  <a:graphicData uri="http://schemas.microsoft.com/office/word/2010/wordprocessingShape">
                    <wps:wsp>
                      <wps:cNvSpPr/>
                      <wps:spPr>
                        <a:xfrm>
                          <a:off x="0" y="0"/>
                          <a:ext cx="479107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3D1C" w:rsidRDefault="001C3D1C" w:rsidP="0019224C">
                            <w:pPr>
                              <w:pStyle w:val="NoSpacing"/>
                              <w:jc w:val="center"/>
                              <w:rPr>
                                <w:color w:val="7D110C" w:themeColor="accent1"/>
                              </w:rPr>
                            </w:pPr>
                            <w:r>
                              <w:rPr>
                                <w:noProof/>
                                <w:color w:val="7D110C" w:themeColor="accent1"/>
                              </w:rPr>
                              <w:drawing>
                                <wp:inline distT="0" distB="0" distL="0" distR="0" wp14:anchorId="681D42B1" wp14:editId="45946AD9">
                                  <wp:extent cx="722376" cy="38404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C3D1C" w:rsidRDefault="001C3D1C"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 </w:t>
                            </w:r>
                            <w:r w:rsidRPr="008232EB">
                              <w:rPr>
                                <w:b/>
                                <w:color w:val="7D110C" w:themeColor="accent1"/>
                                <w:sz w:val="24"/>
                                <w:szCs w:val="24"/>
                              </w:rPr>
                              <w:t>DOGAMI</w:t>
                            </w:r>
                            <w:r>
                              <w:rPr>
                                <w:color w:val="7D110C" w:themeColor="accent1"/>
                                <w:sz w:val="24"/>
                                <w:szCs w:val="24"/>
                              </w:rPr>
                              <w:t>.</w:t>
                            </w:r>
                          </w:p>
                          <w:p w:rsidR="001C3D1C" w:rsidRDefault="001C3D1C" w:rsidP="0019224C">
                            <w:pPr>
                              <w:pStyle w:val="NoSpacing"/>
                              <w:spacing w:before="240"/>
                              <w:jc w:val="center"/>
                              <w:rPr>
                                <w:color w:val="7D110C" w:themeColor="accent1"/>
                              </w:rPr>
                            </w:pPr>
                            <w:r>
                              <w:rPr>
                                <w:noProof/>
                                <w:color w:val="7D110C" w:themeColor="accent1"/>
                              </w:rPr>
                              <w:drawing>
                                <wp:inline distT="0" distB="0" distL="0" distR="0" wp14:anchorId="69D3EBE8" wp14:editId="020E24C3">
                                  <wp:extent cx="374904" cy="237744"/>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CBDFA" id="Rectangle 146" o:spid="_x0000_s1030" style="position:absolute;margin-left:44.25pt;margin-top:158.25pt;width:377.25pt;height:162.7pt;z-index:2516858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" filled="f" stroked="f" strokeweight="1pt">
                <v:textbox inset="10.8pt,0,10.8pt,0">
                  <w:txbxContent>
                    <w:p w:rsidR="001C3D1C" w:rsidRDefault="001C3D1C" w:rsidP="0019224C">
                      <w:pPr>
                        <w:pStyle w:val="NoSpacing"/>
                        <w:jc w:val="center"/>
                        <w:rPr>
                          <w:color w:val="7D110C" w:themeColor="accent1"/>
                        </w:rPr>
                      </w:pPr>
                      <w:r>
                        <w:rPr>
                          <w:noProof/>
                          <w:color w:val="7D110C" w:themeColor="accent1"/>
                        </w:rPr>
                        <w:drawing>
                          <wp:inline distT="0" distB="0" distL="0" distR="0" wp14:anchorId="681D42B1" wp14:editId="45946AD9">
                            <wp:extent cx="722376" cy="384048"/>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C3D1C" w:rsidRDefault="001C3D1C"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 </w:t>
                      </w:r>
                      <w:r w:rsidRPr="008232EB">
                        <w:rPr>
                          <w:b/>
                          <w:color w:val="7D110C" w:themeColor="accent1"/>
                          <w:sz w:val="24"/>
                          <w:szCs w:val="24"/>
                        </w:rPr>
                        <w:t>DOGAMI</w:t>
                      </w:r>
                      <w:r>
                        <w:rPr>
                          <w:color w:val="7D110C" w:themeColor="accent1"/>
                          <w:sz w:val="24"/>
                          <w:szCs w:val="24"/>
                        </w:rPr>
                        <w:t>.</w:t>
                      </w:r>
                    </w:p>
                    <w:p w:rsidR="001C3D1C" w:rsidRDefault="001C3D1C" w:rsidP="0019224C">
                      <w:pPr>
                        <w:pStyle w:val="NoSpacing"/>
                        <w:spacing w:before="240"/>
                        <w:jc w:val="center"/>
                        <w:rPr>
                          <w:color w:val="7D110C" w:themeColor="accent1"/>
                        </w:rPr>
                      </w:pPr>
                      <w:r>
                        <w:rPr>
                          <w:noProof/>
                          <w:color w:val="7D110C" w:themeColor="accent1"/>
                        </w:rPr>
                        <w:drawing>
                          <wp:inline distT="0" distB="0" distL="0" distR="0" wp14:anchorId="69D3EBE8" wp14:editId="020E24C3">
                            <wp:extent cx="374904" cy="237744"/>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19224C">
        <w:rPr>
          <w:rStyle w:val="Strong"/>
        </w:rPr>
        <w:br w:type="page"/>
      </w:r>
    </w:p>
    <w:p w:rsidR="00120EF8" w:rsidRDefault="00A90900" w:rsidP="00A90900">
      <w:pPr>
        <w:rPr>
          <w:noProof/>
        </w:rPr>
      </w:pPr>
      <w:r>
        <w:rPr>
          <w:rStyle w:val="Strong"/>
        </w:rPr>
        <w:lastRenderedPageBreak/>
        <w:t>CONTENT</w:t>
      </w:r>
      <w:r w:rsidR="00B07925">
        <w:rPr>
          <w:rStyle w:val="Strong"/>
        </w:rPr>
        <w:fldChar w:fldCharType="begin"/>
      </w:r>
      <w:r>
        <w:rPr>
          <w:rStyle w:val="Strong"/>
        </w:rPr>
        <w:instrText xml:space="preserve"> TOC \o "1-2" \h \z \u </w:instrText>
      </w:r>
      <w:r w:rsidR="00B07925">
        <w:rPr>
          <w:rStyle w:val="Strong"/>
        </w:rPr>
        <w:fldChar w:fldCharType="separate"/>
      </w:r>
    </w:p>
    <w:p w:rsidR="00120EF8" w:rsidRDefault="007E4262">
      <w:pPr>
        <w:pStyle w:val="TOC1"/>
        <w:rPr>
          <w:rFonts w:asciiTheme="minorHAnsi" w:hAnsiTheme="minorHAnsi" w:cstheme="minorBidi"/>
          <w:b w:val="0"/>
          <w:bCs w:val="0"/>
        </w:rPr>
      </w:pPr>
      <w:hyperlink w:anchor="_Toc34388221" w:history="1">
        <w:r w:rsidR="00120EF8" w:rsidRPr="00897C57">
          <w:rPr>
            <w:rStyle w:val="Hyperlink"/>
          </w:rPr>
          <w:t>Overview</w:t>
        </w:r>
        <w:r w:rsidR="00120EF8">
          <w:rPr>
            <w:webHidden/>
          </w:rPr>
          <w:tab/>
        </w:r>
        <w:r w:rsidR="00120EF8">
          <w:rPr>
            <w:webHidden/>
          </w:rPr>
          <w:fldChar w:fldCharType="begin"/>
        </w:r>
        <w:r w:rsidR="00120EF8">
          <w:rPr>
            <w:webHidden/>
          </w:rPr>
          <w:instrText xml:space="preserve"> PAGEREF _Toc34388221 \h </w:instrText>
        </w:r>
        <w:r w:rsidR="00120EF8">
          <w:rPr>
            <w:webHidden/>
          </w:rPr>
        </w:r>
        <w:r w:rsidR="00120EF8">
          <w:rPr>
            <w:webHidden/>
          </w:rPr>
          <w:fldChar w:fldCharType="separate"/>
        </w:r>
        <w:r w:rsidR="00366D7D">
          <w:rPr>
            <w:webHidden/>
          </w:rPr>
          <w:t>1</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22" w:history="1">
        <w:r w:rsidR="00120EF8" w:rsidRPr="00897C57">
          <w:rPr>
            <w:rStyle w:val="Hyperlink"/>
          </w:rPr>
          <w:t>Building Inventory</w:t>
        </w:r>
        <w:r w:rsidR="00120EF8">
          <w:rPr>
            <w:webHidden/>
          </w:rPr>
          <w:tab/>
        </w:r>
        <w:r w:rsidR="00120EF8">
          <w:rPr>
            <w:webHidden/>
          </w:rPr>
          <w:fldChar w:fldCharType="begin"/>
        </w:r>
        <w:r w:rsidR="00120EF8">
          <w:rPr>
            <w:webHidden/>
          </w:rPr>
          <w:instrText xml:space="preserve"> PAGEREF _Toc34388222 \h </w:instrText>
        </w:r>
        <w:r w:rsidR="00120EF8">
          <w:rPr>
            <w:webHidden/>
          </w:rPr>
        </w:r>
        <w:r w:rsidR="00120EF8">
          <w:rPr>
            <w:webHidden/>
          </w:rPr>
          <w:fldChar w:fldCharType="separate"/>
        </w:r>
        <w:r w:rsidR="00366D7D">
          <w:rPr>
            <w:webHidden/>
          </w:rPr>
          <w:t>2</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23" w:history="1">
        <w:r w:rsidR="00120EF8" w:rsidRPr="00897C57">
          <w:rPr>
            <w:rStyle w:val="Hyperlink"/>
          </w:rPr>
          <w:t>Water Depth Grids</w:t>
        </w:r>
        <w:r w:rsidR="00120EF8">
          <w:rPr>
            <w:webHidden/>
          </w:rPr>
          <w:tab/>
        </w:r>
        <w:r w:rsidR="00120EF8">
          <w:rPr>
            <w:webHidden/>
          </w:rPr>
          <w:fldChar w:fldCharType="begin"/>
        </w:r>
        <w:r w:rsidR="00120EF8">
          <w:rPr>
            <w:webHidden/>
          </w:rPr>
          <w:instrText xml:space="preserve"> PAGEREF _Toc34388223 \h </w:instrText>
        </w:r>
        <w:r w:rsidR="00120EF8">
          <w:rPr>
            <w:webHidden/>
          </w:rPr>
        </w:r>
        <w:r w:rsidR="00120EF8">
          <w:rPr>
            <w:webHidden/>
          </w:rPr>
          <w:fldChar w:fldCharType="separate"/>
        </w:r>
        <w:r w:rsidR="00366D7D">
          <w:rPr>
            <w:webHidden/>
          </w:rPr>
          <w:t>2</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24" w:history="1">
        <w:r w:rsidR="00120EF8" w:rsidRPr="00897C57">
          <w:rPr>
            <w:rStyle w:val="Hyperlink"/>
          </w:rPr>
          <w:t>Flood Risk Assessment Products</w:t>
        </w:r>
        <w:r w:rsidR="00120EF8">
          <w:rPr>
            <w:webHidden/>
          </w:rPr>
          <w:tab/>
        </w:r>
        <w:r w:rsidR="00120EF8">
          <w:rPr>
            <w:webHidden/>
          </w:rPr>
          <w:fldChar w:fldCharType="begin"/>
        </w:r>
        <w:r w:rsidR="00120EF8">
          <w:rPr>
            <w:webHidden/>
          </w:rPr>
          <w:instrText xml:space="preserve"> PAGEREF _Toc34388224 \h </w:instrText>
        </w:r>
        <w:r w:rsidR="00120EF8">
          <w:rPr>
            <w:webHidden/>
          </w:rPr>
        </w:r>
        <w:r w:rsidR="00120EF8">
          <w:rPr>
            <w:webHidden/>
          </w:rPr>
          <w:fldChar w:fldCharType="separate"/>
        </w:r>
        <w:r w:rsidR="00366D7D">
          <w:rPr>
            <w:webHidden/>
          </w:rPr>
          <w:t>3</w:t>
        </w:r>
        <w:r w:rsidR="00120EF8">
          <w:rPr>
            <w:webHidden/>
          </w:rPr>
          <w:fldChar w:fldCharType="end"/>
        </w:r>
      </w:hyperlink>
    </w:p>
    <w:p w:rsidR="00120EF8" w:rsidRDefault="007E4262">
      <w:pPr>
        <w:pStyle w:val="TOC2"/>
        <w:rPr>
          <w:bCs w:val="0"/>
          <w:sz w:val="22"/>
          <w:szCs w:val="22"/>
        </w:rPr>
      </w:pPr>
      <w:hyperlink w:anchor="_Toc34388225" w:history="1">
        <w:r w:rsidR="00120EF8" w:rsidRPr="00897C57">
          <w:rPr>
            <w:rStyle w:val="Hyperlink"/>
          </w:rPr>
          <w:t>Community Exposure and Risk</w:t>
        </w:r>
        <w:r w:rsidR="00120EF8">
          <w:rPr>
            <w:webHidden/>
          </w:rPr>
          <w:tab/>
        </w:r>
        <w:r w:rsidR="00120EF8">
          <w:rPr>
            <w:webHidden/>
          </w:rPr>
          <w:fldChar w:fldCharType="begin"/>
        </w:r>
        <w:r w:rsidR="00120EF8">
          <w:rPr>
            <w:webHidden/>
          </w:rPr>
          <w:instrText xml:space="preserve"> PAGEREF _Toc34388225 \h </w:instrText>
        </w:r>
        <w:r w:rsidR="00120EF8">
          <w:rPr>
            <w:webHidden/>
          </w:rPr>
        </w:r>
        <w:r w:rsidR="00120EF8">
          <w:rPr>
            <w:webHidden/>
          </w:rPr>
          <w:fldChar w:fldCharType="separate"/>
        </w:r>
        <w:r w:rsidR="00366D7D">
          <w:rPr>
            <w:webHidden/>
          </w:rPr>
          <w:t>3</w:t>
        </w:r>
        <w:r w:rsidR="00120EF8">
          <w:rPr>
            <w:webHidden/>
          </w:rPr>
          <w:fldChar w:fldCharType="end"/>
        </w:r>
      </w:hyperlink>
    </w:p>
    <w:p w:rsidR="00120EF8" w:rsidRDefault="007E4262">
      <w:pPr>
        <w:pStyle w:val="TOC2"/>
        <w:rPr>
          <w:bCs w:val="0"/>
          <w:sz w:val="22"/>
          <w:szCs w:val="22"/>
        </w:rPr>
      </w:pPr>
      <w:hyperlink w:anchor="_Toc34388226" w:history="1">
        <w:r w:rsidR="00120EF8" w:rsidRPr="00897C57">
          <w:rPr>
            <w:rStyle w:val="Hyperlink"/>
          </w:rPr>
          <w:t>Building-Level Exposure</w:t>
        </w:r>
        <w:r w:rsidR="00120EF8">
          <w:rPr>
            <w:webHidden/>
          </w:rPr>
          <w:tab/>
        </w:r>
        <w:r w:rsidR="00120EF8">
          <w:rPr>
            <w:webHidden/>
          </w:rPr>
          <w:fldChar w:fldCharType="begin"/>
        </w:r>
        <w:r w:rsidR="00120EF8">
          <w:rPr>
            <w:webHidden/>
          </w:rPr>
          <w:instrText xml:space="preserve"> PAGEREF _Toc34388226 \h </w:instrText>
        </w:r>
        <w:r w:rsidR="00120EF8">
          <w:rPr>
            <w:webHidden/>
          </w:rPr>
        </w:r>
        <w:r w:rsidR="00120EF8">
          <w:rPr>
            <w:webHidden/>
          </w:rPr>
          <w:fldChar w:fldCharType="separate"/>
        </w:r>
        <w:r w:rsidR="00366D7D">
          <w:rPr>
            <w:webHidden/>
          </w:rPr>
          <w:t>4</w:t>
        </w:r>
        <w:r w:rsidR="00120EF8">
          <w:rPr>
            <w:webHidden/>
          </w:rPr>
          <w:fldChar w:fldCharType="end"/>
        </w:r>
      </w:hyperlink>
    </w:p>
    <w:p w:rsidR="00120EF8" w:rsidRDefault="007E4262">
      <w:pPr>
        <w:pStyle w:val="TOC2"/>
        <w:rPr>
          <w:bCs w:val="0"/>
          <w:sz w:val="22"/>
          <w:szCs w:val="22"/>
        </w:rPr>
      </w:pPr>
      <w:hyperlink w:anchor="_Toc34388227" w:history="1">
        <w:r w:rsidR="00120EF8" w:rsidRPr="00897C57">
          <w:rPr>
            <w:rStyle w:val="Hyperlink"/>
          </w:rPr>
          <w:t>Building-Level Flood Risk Assessment</w:t>
        </w:r>
        <w:r w:rsidR="00120EF8">
          <w:rPr>
            <w:webHidden/>
          </w:rPr>
          <w:tab/>
        </w:r>
        <w:r w:rsidR="00120EF8">
          <w:rPr>
            <w:webHidden/>
          </w:rPr>
          <w:fldChar w:fldCharType="begin"/>
        </w:r>
        <w:r w:rsidR="00120EF8">
          <w:rPr>
            <w:webHidden/>
          </w:rPr>
          <w:instrText xml:space="preserve"> PAGEREF _Toc34388227 \h </w:instrText>
        </w:r>
        <w:r w:rsidR="00120EF8">
          <w:rPr>
            <w:webHidden/>
          </w:rPr>
        </w:r>
        <w:r w:rsidR="00120EF8">
          <w:rPr>
            <w:webHidden/>
          </w:rPr>
          <w:fldChar w:fldCharType="separate"/>
        </w:r>
        <w:r w:rsidR="00366D7D">
          <w:rPr>
            <w:webHidden/>
          </w:rPr>
          <w:t>5</w:t>
        </w:r>
        <w:r w:rsidR="00120EF8">
          <w:rPr>
            <w:webHidden/>
          </w:rPr>
          <w:fldChar w:fldCharType="end"/>
        </w:r>
      </w:hyperlink>
    </w:p>
    <w:p w:rsidR="00120EF8" w:rsidRDefault="007E4262">
      <w:pPr>
        <w:pStyle w:val="TOC2"/>
        <w:rPr>
          <w:bCs w:val="0"/>
          <w:sz w:val="22"/>
          <w:szCs w:val="22"/>
        </w:rPr>
      </w:pPr>
      <w:hyperlink w:anchor="_Toc34388228" w:history="1">
        <w:r w:rsidR="00120EF8" w:rsidRPr="00897C57">
          <w:rPr>
            <w:rStyle w:val="Hyperlink"/>
          </w:rPr>
          <w:t>Mitigation Opportunities</w:t>
        </w:r>
        <w:r w:rsidR="00120EF8">
          <w:rPr>
            <w:webHidden/>
          </w:rPr>
          <w:tab/>
        </w:r>
        <w:r w:rsidR="00120EF8">
          <w:rPr>
            <w:webHidden/>
          </w:rPr>
          <w:fldChar w:fldCharType="begin"/>
        </w:r>
        <w:r w:rsidR="00120EF8">
          <w:rPr>
            <w:webHidden/>
          </w:rPr>
          <w:instrText xml:space="preserve"> PAGEREF _Toc34388228 \h </w:instrText>
        </w:r>
        <w:r w:rsidR="00120EF8">
          <w:rPr>
            <w:webHidden/>
          </w:rPr>
        </w:r>
        <w:r w:rsidR="00120EF8">
          <w:rPr>
            <w:webHidden/>
          </w:rPr>
          <w:fldChar w:fldCharType="separate"/>
        </w:r>
        <w:r w:rsidR="00366D7D">
          <w:rPr>
            <w:webHidden/>
          </w:rPr>
          <w:t>6</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29" w:history="1">
        <w:r w:rsidR="00120EF8" w:rsidRPr="00897C57">
          <w:rPr>
            <w:rStyle w:val="Hyperlink"/>
          </w:rPr>
          <w:t>Community Engagement &amp; Field Verification</w:t>
        </w:r>
        <w:r w:rsidR="00120EF8">
          <w:rPr>
            <w:webHidden/>
          </w:rPr>
          <w:tab/>
        </w:r>
        <w:r w:rsidR="00120EF8">
          <w:rPr>
            <w:webHidden/>
          </w:rPr>
          <w:fldChar w:fldCharType="begin"/>
        </w:r>
        <w:r w:rsidR="00120EF8">
          <w:rPr>
            <w:webHidden/>
          </w:rPr>
          <w:instrText xml:space="preserve"> PAGEREF _Toc34388229 \h </w:instrText>
        </w:r>
        <w:r w:rsidR="00120EF8">
          <w:rPr>
            <w:webHidden/>
          </w:rPr>
        </w:r>
        <w:r w:rsidR="00120EF8">
          <w:rPr>
            <w:webHidden/>
          </w:rPr>
          <w:fldChar w:fldCharType="separate"/>
        </w:r>
        <w:r w:rsidR="00366D7D">
          <w:rPr>
            <w:webHidden/>
          </w:rPr>
          <w:t>6</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30" w:history="1">
        <w:r w:rsidR="00120EF8" w:rsidRPr="00897C57">
          <w:rPr>
            <w:rStyle w:val="Hyperlink"/>
          </w:rPr>
          <w:t>References</w:t>
        </w:r>
        <w:r w:rsidR="00120EF8">
          <w:rPr>
            <w:webHidden/>
          </w:rPr>
          <w:tab/>
        </w:r>
        <w:r w:rsidR="00120EF8">
          <w:rPr>
            <w:webHidden/>
          </w:rPr>
          <w:fldChar w:fldCharType="begin"/>
        </w:r>
        <w:r w:rsidR="00120EF8">
          <w:rPr>
            <w:webHidden/>
          </w:rPr>
          <w:instrText xml:space="preserve"> PAGEREF _Toc34388230 \h </w:instrText>
        </w:r>
        <w:r w:rsidR="00120EF8">
          <w:rPr>
            <w:webHidden/>
          </w:rPr>
        </w:r>
        <w:r w:rsidR="00120EF8">
          <w:rPr>
            <w:webHidden/>
          </w:rPr>
          <w:fldChar w:fldCharType="separate"/>
        </w:r>
        <w:r w:rsidR="00366D7D">
          <w:rPr>
            <w:webHidden/>
          </w:rPr>
          <w:t>7</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31" w:history="1">
        <w:r w:rsidR="00120EF8" w:rsidRPr="00897C57">
          <w:rPr>
            <w:rStyle w:val="Hyperlink"/>
          </w:rPr>
          <w:t>Appendix A:  Tables and Figures</w:t>
        </w:r>
        <w:r w:rsidR="00120EF8">
          <w:rPr>
            <w:webHidden/>
          </w:rPr>
          <w:tab/>
        </w:r>
        <w:r w:rsidR="00120EF8">
          <w:rPr>
            <w:webHidden/>
          </w:rPr>
          <w:fldChar w:fldCharType="begin"/>
        </w:r>
        <w:r w:rsidR="00120EF8">
          <w:rPr>
            <w:webHidden/>
          </w:rPr>
          <w:instrText xml:space="preserve"> PAGEREF _Toc34388231 \h </w:instrText>
        </w:r>
        <w:r w:rsidR="00120EF8">
          <w:rPr>
            <w:webHidden/>
          </w:rPr>
        </w:r>
        <w:r w:rsidR="00120EF8">
          <w:rPr>
            <w:webHidden/>
          </w:rPr>
          <w:fldChar w:fldCharType="separate"/>
        </w:r>
        <w:r w:rsidR="00366D7D">
          <w:rPr>
            <w:webHidden/>
          </w:rPr>
          <w:t>8</w:t>
        </w:r>
        <w:r w:rsidR="00120EF8">
          <w:rPr>
            <w:webHidden/>
          </w:rPr>
          <w:fldChar w:fldCharType="end"/>
        </w:r>
      </w:hyperlink>
    </w:p>
    <w:p w:rsidR="00120EF8" w:rsidRDefault="007E4262">
      <w:pPr>
        <w:pStyle w:val="TOC1"/>
        <w:rPr>
          <w:rFonts w:asciiTheme="minorHAnsi" w:hAnsiTheme="minorHAnsi" w:cstheme="minorBidi"/>
          <w:b w:val="0"/>
          <w:bCs w:val="0"/>
        </w:rPr>
      </w:pPr>
      <w:hyperlink w:anchor="_Toc34388232" w:history="1">
        <w:r w:rsidR="00120EF8" w:rsidRPr="00897C57">
          <w:rPr>
            <w:rStyle w:val="Hyperlink"/>
          </w:rPr>
          <w:t>Appendix B:  Glossary</w:t>
        </w:r>
        <w:r w:rsidR="00120EF8">
          <w:rPr>
            <w:webHidden/>
          </w:rPr>
          <w:tab/>
        </w:r>
        <w:r w:rsidR="00120EF8">
          <w:rPr>
            <w:webHidden/>
          </w:rPr>
          <w:fldChar w:fldCharType="begin"/>
        </w:r>
        <w:r w:rsidR="00120EF8">
          <w:rPr>
            <w:webHidden/>
          </w:rPr>
          <w:instrText xml:space="preserve"> PAGEREF _Toc34388232 \h </w:instrText>
        </w:r>
        <w:r w:rsidR="00120EF8">
          <w:rPr>
            <w:webHidden/>
          </w:rPr>
        </w:r>
        <w:r w:rsidR="00120EF8">
          <w:rPr>
            <w:webHidden/>
          </w:rPr>
          <w:fldChar w:fldCharType="separate"/>
        </w:r>
        <w:r w:rsidR="00366D7D">
          <w:rPr>
            <w:webHidden/>
          </w:rPr>
          <w:t>42</w:t>
        </w:r>
        <w:r w:rsidR="00120EF8">
          <w:rPr>
            <w:webHidden/>
          </w:rPr>
          <w:fldChar w:fldCharType="end"/>
        </w:r>
      </w:hyperlink>
    </w:p>
    <w:p w:rsidR="00A90900" w:rsidRDefault="00B07925" w:rsidP="00686D7B">
      <w:pPr>
        <w:rPr>
          <w:rStyle w:val="Strong"/>
        </w:rPr>
      </w:pPr>
      <w:r>
        <w:rPr>
          <w:rStyle w:val="Strong"/>
        </w:rPr>
        <w:fldChar w:fldCharType="end"/>
      </w:r>
    </w:p>
    <w:p w:rsidR="00C90636" w:rsidRDefault="00C90636">
      <w:pPr>
        <w:rPr>
          <w:rStyle w:val="Strong"/>
          <w:sz w:val="24"/>
          <w:szCs w:val="24"/>
        </w:rPr>
      </w:pPr>
      <w:r>
        <w:rPr>
          <w:rStyle w:val="Strong"/>
          <w:sz w:val="24"/>
          <w:szCs w:val="24"/>
        </w:rPr>
        <w:br w:type="page"/>
      </w:r>
    </w:p>
    <w:p w:rsidR="00120EF8" w:rsidRDefault="008634BB" w:rsidP="008634BB">
      <w:pPr>
        <w:rPr>
          <w:noProof/>
        </w:rPr>
      </w:pPr>
      <w:r w:rsidRPr="008634BB">
        <w:rPr>
          <w:rStyle w:val="Strong"/>
          <w:sz w:val="24"/>
          <w:szCs w:val="24"/>
        </w:rPr>
        <w:lastRenderedPageBreak/>
        <w:t>TABLES</w:t>
      </w:r>
      <w:r w:rsidR="00B07925">
        <w:rPr>
          <w:rStyle w:val="Strong"/>
        </w:rPr>
        <w:fldChar w:fldCharType="begin"/>
      </w:r>
      <w:r>
        <w:rPr>
          <w:rStyle w:val="Strong"/>
        </w:rPr>
        <w:instrText xml:space="preserve"> TOC \h \z \t "Table/Figure,3" </w:instrText>
      </w:r>
      <w:r w:rsidR="00B07925">
        <w:rPr>
          <w:rStyle w:val="Strong"/>
        </w:rPr>
        <w:fldChar w:fldCharType="separate"/>
      </w:r>
    </w:p>
    <w:p w:rsidR="00120EF8" w:rsidRDefault="007E4262">
      <w:pPr>
        <w:pStyle w:val="TOC3"/>
        <w:rPr>
          <w:noProof/>
          <w:sz w:val="22"/>
          <w:szCs w:val="22"/>
        </w:rPr>
      </w:pPr>
      <w:hyperlink w:anchor="_Toc34388233" w:history="1">
        <w:r w:rsidR="00120EF8" w:rsidRPr="00112C3A">
          <w:rPr>
            <w:rStyle w:val="Hyperlink"/>
            <w:noProof/>
          </w:rPr>
          <w:t>Table 1.  Flood Risk Products</w:t>
        </w:r>
        <w:r w:rsidR="00120EF8">
          <w:rPr>
            <w:noProof/>
            <w:webHidden/>
          </w:rPr>
          <w:tab/>
        </w:r>
        <w:r w:rsidR="00120EF8">
          <w:rPr>
            <w:noProof/>
            <w:webHidden/>
          </w:rPr>
          <w:fldChar w:fldCharType="begin"/>
        </w:r>
        <w:r w:rsidR="00120EF8">
          <w:rPr>
            <w:noProof/>
            <w:webHidden/>
          </w:rPr>
          <w:instrText xml:space="preserve"> PAGEREF _Toc34388233 \h </w:instrText>
        </w:r>
        <w:r w:rsidR="00120EF8">
          <w:rPr>
            <w:noProof/>
            <w:webHidden/>
          </w:rPr>
        </w:r>
        <w:r w:rsidR="00120EF8">
          <w:rPr>
            <w:noProof/>
            <w:webHidden/>
          </w:rPr>
          <w:fldChar w:fldCharType="separate"/>
        </w:r>
        <w:r w:rsidR="00366D7D">
          <w:rPr>
            <w:noProof/>
            <w:webHidden/>
          </w:rPr>
          <w:t>8</w:t>
        </w:r>
        <w:r w:rsidR="00120EF8">
          <w:rPr>
            <w:noProof/>
            <w:webHidden/>
          </w:rPr>
          <w:fldChar w:fldCharType="end"/>
        </w:r>
      </w:hyperlink>
    </w:p>
    <w:p w:rsidR="00120EF8" w:rsidRDefault="007E4262">
      <w:pPr>
        <w:pStyle w:val="TOC3"/>
        <w:rPr>
          <w:noProof/>
          <w:sz w:val="22"/>
          <w:szCs w:val="22"/>
        </w:rPr>
      </w:pPr>
      <w:hyperlink w:anchor="_Toc34388234" w:history="1">
        <w:r w:rsidR="00120EF8" w:rsidRPr="00112C3A">
          <w:rPr>
            <w:rStyle w:val="Hyperlink"/>
            <w:noProof/>
          </w:rPr>
          <w:t>Table 2.  Flood Risk Layers</w:t>
        </w:r>
        <w:r w:rsidR="00120EF8">
          <w:rPr>
            <w:noProof/>
            <w:webHidden/>
          </w:rPr>
          <w:tab/>
        </w:r>
        <w:r w:rsidR="00120EF8">
          <w:rPr>
            <w:noProof/>
            <w:webHidden/>
          </w:rPr>
          <w:fldChar w:fldCharType="begin"/>
        </w:r>
        <w:r w:rsidR="00120EF8">
          <w:rPr>
            <w:noProof/>
            <w:webHidden/>
          </w:rPr>
          <w:instrText xml:space="preserve"> PAGEREF _Toc34388234 \h </w:instrText>
        </w:r>
        <w:r w:rsidR="00120EF8">
          <w:rPr>
            <w:noProof/>
            <w:webHidden/>
          </w:rPr>
        </w:r>
        <w:r w:rsidR="00120EF8">
          <w:rPr>
            <w:noProof/>
            <w:webHidden/>
          </w:rPr>
          <w:fldChar w:fldCharType="separate"/>
        </w:r>
        <w:r w:rsidR="00366D7D">
          <w:rPr>
            <w:noProof/>
            <w:webHidden/>
          </w:rPr>
          <w:t>11</w:t>
        </w:r>
        <w:r w:rsidR="00120EF8">
          <w:rPr>
            <w:noProof/>
            <w:webHidden/>
          </w:rPr>
          <w:fldChar w:fldCharType="end"/>
        </w:r>
      </w:hyperlink>
    </w:p>
    <w:p w:rsidR="00120EF8" w:rsidRDefault="007E4262">
      <w:pPr>
        <w:pStyle w:val="TOC3"/>
        <w:rPr>
          <w:noProof/>
          <w:sz w:val="22"/>
          <w:szCs w:val="22"/>
        </w:rPr>
      </w:pPr>
      <w:hyperlink w:anchor="_Toc34388235" w:history="1">
        <w:r w:rsidR="00120EF8" w:rsidRPr="00112C3A">
          <w:rPr>
            <w:rStyle w:val="Hyperlink"/>
            <w:noProof/>
          </w:rPr>
          <w:t>Table 3.  Spatial Identifiers</w:t>
        </w:r>
        <w:r w:rsidR="00120EF8">
          <w:rPr>
            <w:noProof/>
            <w:webHidden/>
          </w:rPr>
          <w:tab/>
        </w:r>
        <w:r w:rsidR="00120EF8">
          <w:rPr>
            <w:noProof/>
            <w:webHidden/>
          </w:rPr>
          <w:fldChar w:fldCharType="begin"/>
        </w:r>
        <w:r w:rsidR="00120EF8">
          <w:rPr>
            <w:noProof/>
            <w:webHidden/>
          </w:rPr>
          <w:instrText xml:space="preserve"> PAGEREF _Toc34388235 \h </w:instrText>
        </w:r>
        <w:r w:rsidR="00120EF8">
          <w:rPr>
            <w:noProof/>
            <w:webHidden/>
          </w:rPr>
        </w:r>
        <w:r w:rsidR="00120EF8">
          <w:rPr>
            <w:noProof/>
            <w:webHidden/>
          </w:rPr>
          <w:fldChar w:fldCharType="separate"/>
        </w:r>
        <w:r w:rsidR="00366D7D">
          <w:rPr>
            <w:noProof/>
            <w:webHidden/>
          </w:rPr>
          <w:t>19</w:t>
        </w:r>
        <w:r w:rsidR="00120EF8">
          <w:rPr>
            <w:noProof/>
            <w:webHidden/>
          </w:rPr>
          <w:fldChar w:fldCharType="end"/>
        </w:r>
      </w:hyperlink>
    </w:p>
    <w:p w:rsidR="00120EF8" w:rsidRDefault="007E4262">
      <w:pPr>
        <w:pStyle w:val="TOC3"/>
        <w:rPr>
          <w:noProof/>
          <w:sz w:val="22"/>
          <w:szCs w:val="22"/>
        </w:rPr>
      </w:pPr>
      <w:hyperlink w:anchor="_Toc34388236" w:history="1">
        <w:r w:rsidR="00120EF8" w:rsidRPr="00112C3A">
          <w:rPr>
            <w:rStyle w:val="Hyperlink"/>
            <w:noProof/>
          </w:rPr>
          <w:t>Table 4.  Hazus Mode Inputs:  Building Characteristics</w:t>
        </w:r>
        <w:r w:rsidR="00120EF8">
          <w:rPr>
            <w:noProof/>
            <w:webHidden/>
          </w:rPr>
          <w:tab/>
        </w:r>
        <w:r w:rsidR="00120EF8">
          <w:rPr>
            <w:noProof/>
            <w:webHidden/>
          </w:rPr>
          <w:fldChar w:fldCharType="begin"/>
        </w:r>
        <w:r w:rsidR="00120EF8">
          <w:rPr>
            <w:noProof/>
            <w:webHidden/>
          </w:rPr>
          <w:instrText xml:space="preserve"> PAGEREF _Toc34388236 \h </w:instrText>
        </w:r>
        <w:r w:rsidR="00120EF8">
          <w:rPr>
            <w:noProof/>
            <w:webHidden/>
          </w:rPr>
        </w:r>
        <w:r w:rsidR="00120EF8">
          <w:rPr>
            <w:noProof/>
            <w:webHidden/>
          </w:rPr>
          <w:fldChar w:fldCharType="separate"/>
        </w:r>
        <w:r w:rsidR="00366D7D">
          <w:rPr>
            <w:noProof/>
            <w:webHidden/>
          </w:rPr>
          <w:t>20</w:t>
        </w:r>
        <w:r w:rsidR="00120EF8">
          <w:rPr>
            <w:noProof/>
            <w:webHidden/>
          </w:rPr>
          <w:fldChar w:fldCharType="end"/>
        </w:r>
      </w:hyperlink>
    </w:p>
    <w:p w:rsidR="00120EF8" w:rsidRDefault="007E4262">
      <w:pPr>
        <w:pStyle w:val="TOC3"/>
        <w:rPr>
          <w:noProof/>
          <w:sz w:val="22"/>
          <w:szCs w:val="22"/>
        </w:rPr>
      </w:pPr>
      <w:hyperlink w:anchor="_Toc34388237" w:history="1">
        <w:r w:rsidR="00120EF8" w:rsidRPr="00112C3A">
          <w:rPr>
            <w:rStyle w:val="Hyperlink"/>
            <w:noProof/>
          </w:rPr>
          <w:t>Table 5.  Hazus Mode Inputs:  Flood Water Depth</w:t>
        </w:r>
        <w:r w:rsidR="00120EF8">
          <w:rPr>
            <w:noProof/>
            <w:webHidden/>
          </w:rPr>
          <w:tab/>
        </w:r>
        <w:r w:rsidR="00120EF8">
          <w:rPr>
            <w:noProof/>
            <w:webHidden/>
          </w:rPr>
          <w:fldChar w:fldCharType="begin"/>
        </w:r>
        <w:r w:rsidR="00120EF8">
          <w:rPr>
            <w:noProof/>
            <w:webHidden/>
          </w:rPr>
          <w:instrText xml:space="preserve"> PAGEREF _Toc34388237 \h </w:instrText>
        </w:r>
        <w:r w:rsidR="00120EF8">
          <w:rPr>
            <w:noProof/>
            <w:webHidden/>
          </w:rPr>
        </w:r>
        <w:r w:rsidR="00120EF8">
          <w:rPr>
            <w:noProof/>
            <w:webHidden/>
          </w:rPr>
          <w:fldChar w:fldCharType="separate"/>
        </w:r>
        <w:r w:rsidR="00366D7D">
          <w:rPr>
            <w:noProof/>
            <w:webHidden/>
          </w:rPr>
          <w:t>20</w:t>
        </w:r>
        <w:r w:rsidR="00120EF8">
          <w:rPr>
            <w:noProof/>
            <w:webHidden/>
          </w:rPr>
          <w:fldChar w:fldCharType="end"/>
        </w:r>
      </w:hyperlink>
    </w:p>
    <w:p w:rsidR="00120EF8" w:rsidRDefault="007E4262">
      <w:pPr>
        <w:pStyle w:val="TOC3"/>
        <w:rPr>
          <w:noProof/>
          <w:sz w:val="22"/>
          <w:szCs w:val="22"/>
        </w:rPr>
      </w:pPr>
      <w:hyperlink w:anchor="_Toc34388238" w:history="1">
        <w:r w:rsidR="00120EF8" w:rsidRPr="00112C3A">
          <w:rPr>
            <w:rStyle w:val="Hyperlink"/>
            <w:noProof/>
          </w:rPr>
          <w:t>Table 6.  Hazus Mode Inputs:  Building Point</w:t>
        </w:r>
        <w:r w:rsidR="00120EF8">
          <w:rPr>
            <w:noProof/>
            <w:webHidden/>
          </w:rPr>
          <w:tab/>
        </w:r>
        <w:r w:rsidR="00120EF8">
          <w:rPr>
            <w:noProof/>
            <w:webHidden/>
          </w:rPr>
          <w:fldChar w:fldCharType="begin"/>
        </w:r>
        <w:r w:rsidR="00120EF8">
          <w:rPr>
            <w:noProof/>
            <w:webHidden/>
          </w:rPr>
          <w:instrText xml:space="preserve"> PAGEREF _Toc34388238 \h </w:instrText>
        </w:r>
        <w:r w:rsidR="00120EF8">
          <w:rPr>
            <w:noProof/>
            <w:webHidden/>
          </w:rPr>
        </w:r>
        <w:r w:rsidR="00120EF8">
          <w:rPr>
            <w:noProof/>
            <w:webHidden/>
          </w:rPr>
          <w:fldChar w:fldCharType="separate"/>
        </w:r>
        <w:r w:rsidR="00366D7D">
          <w:rPr>
            <w:noProof/>
            <w:webHidden/>
          </w:rPr>
          <w:t>20</w:t>
        </w:r>
        <w:r w:rsidR="00120EF8">
          <w:rPr>
            <w:noProof/>
            <w:webHidden/>
          </w:rPr>
          <w:fldChar w:fldCharType="end"/>
        </w:r>
      </w:hyperlink>
    </w:p>
    <w:p w:rsidR="00120EF8" w:rsidRDefault="007E4262">
      <w:pPr>
        <w:pStyle w:val="TOC3"/>
        <w:rPr>
          <w:noProof/>
          <w:sz w:val="22"/>
          <w:szCs w:val="22"/>
        </w:rPr>
      </w:pPr>
      <w:hyperlink w:anchor="_Toc34388239" w:history="1">
        <w:r w:rsidR="00120EF8" w:rsidRPr="00112C3A">
          <w:rPr>
            <w:rStyle w:val="Hyperlink"/>
            <w:noProof/>
          </w:rPr>
          <w:t>Table 7.  RESIDENTIAL Basement Information from Assessment Records</w:t>
        </w:r>
        <w:r w:rsidR="00120EF8">
          <w:rPr>
            <w:noProof/>
            <w:webHidden/>
          </w:rPr>
          <w:tab/>
        </w:r>
        <w:r w:rsidR="00120EF8">
          <w:rPr>
            <w:noProof/>
            <w:webHidden/>
          </w:rPr>
          <w:fldChar w:fldCharType="begin"/>
        </w:r>
        <w:r w:rsidR="00120EF8">
          <w:rPr>
            <w:noProof/>
            <w:webHidden/>
          </w:rPr>
          <w:instrText xml:space="preserve"> PAGEREF _Toc34388239 \h </w:instrText>
        </w:r>
        <w:r w:rsidR="00120EF8">
          <w:rPr>
            <w:noProof/>
            <w:webHidden/>
          </w:rPr>
        </w:r>
        <w:r w:rsidR="00120EF8">
          <w:rPr>
            <w:noProof/>
            <w:webHidden/>
          </w:rPr>
          <w:fldChar w:fldCharType="separate"/>
        </w:r>
        <w:r w:rsidR="00366D7D">
          <w:rPr>
            <w:noProof/>
            <w:webHidden/>
          </w:rPr>
          <w:t>21</w:t>
        </w:r>
        <w:r w:rsidR="00120EF8">
          <w:rPr>
            <w:noProof/>
            <w:webHidden/>
          </w:rPr>
          <w:fldChar w:fldCharType="end"/>
        </w:r>
      </w:hyperlink>
    </w:p>
    <w:p w:rsidR="00120EF8" w:rsidRDefault="007E4262">
      <w:pPr>
        <w:pStyle w:val="TOC3"/>
        <w:rPr>
          <w:noProof/>
          <w:sz w:val="22"/>
          <w:szCs w:val="22"/>
        </w:rPr>
      </w:pPr>
      <w:hyperlink w:anchor="_Toc34388240" w:history="1">
        <w:r w:rsidR="00120EF8" w:rsidRPr="00112C3A">
          <w:rPr>
            <w:rStyle w:val="Hyperlink"/>
            <w:noProof/>
          </w:rPr>
          <w:t>Table 8.  COMMERCIAL Basement Information from Assessment Records</w:t>
        </w:r>
        <w:r w:rsidR="00120EF8">
          <w:rPr>
            <w:noProof/>
            <w:webHidden/>
          </w:rPr>
          <w:tab/>
        </w:r>
        <w:r w:rsidR="00120EF8">
          <w:rPr>
            <w:noProof/>
            <w:webHidden/>
          </w:rPr>
          <w:fldChar w:fldCharType="begin"/>
        </w:r>
        <w:r w:rsidR="00120EF8">
          <w:rPr>
            <w:noProof/>
            <w:webHidden/>
          </w:rPr>
          <w:instrText xml:space="preserve"> PAGEREF _Toc34388240 \h </w:instrText>
        </w:r>
        <w:r w:rsidR="00120EF8">
          <w:rPr>
            <w:noProof/>
            <w:webHidden/>
          </w:rPr>
        </w:r>
        <w:r w:rsidR="00120EF8">
          <w:rPr>
            <w:noProof/>
            <w:webHidden/>
          </w:rPr>
          <w:fldChar w:fldCharType="separate"/>
        </w:r>
        <w:r w:rsidR="00366D7D">
          <w:rPr>
            <w:noProof/>
            <w:webHidden/>
          </w:rPr>
          <w:t>21</w:t>
        </w:r>
        <w:r w:rsidR="00120EF8">
          <w:rPr>
            <w:noProof/>
            <w:webHidden/>
          </w:rPr>
          <w:fldChar w:fldCharType="end"/>
        </w:r>
      </w:hyperlink>
    </w:p>
    <w:p w:rsidR="00120EF8" w:rsidRDefault="007E4262">
      <w:pPr>
        <w:pStyle w:val="TOC3"/>
        <w:rPr>
          <w:noProof/>
          <w:sz w:val="22"/>
          <w:szCs w:val="22"/>
        </w:rPr>
      </w:pPr>
      <w:hyperlink w:anchor="_Toc34388241" w:history="1">
        <w:r w:rsidR="00120EF8" w:rsidRPr="00112C3A">
          <w:rPr>
            <w:rStyle w:val="Hyperlink"/>
            <w:noProof/>
          </w:rPr>
          <w:t>Table 9.  Foundation Type, Foundation Code, First Floor Height for Hazus Flood Model</w:t>
        </w:r>
        <w:r w:rsidR="00120EF8">
          <w:rPr>
            <w:noProof/>
            <w:webHidden/>
          </w:rPr>
          <w:tab/>
        </w:r>
        <w:r w:rsidR="00120EF8">
          <w:rPr>
            <w:noProof/>
            <w:webHidden/>
          </w:rPr>
          <w:fldChar w:fldCharType="begin"/>
        </w:r>
        <w:r w:rsidR="00120EF8">
          <w:rPr>
            <w:noProof/>
            <w:webHidden/>
          </w:rPr>
          <w:instrText xml:space="preserve"> PAGEREF _Toc34388241 \h </w:instrText>
        </w:r>
        <w:r w:rsidR="00120EF8">
          <w:rPr>
            <w:noProof/>
            <w:webHidden/>
          </w:rPr>
        </w:r>
        <w:r w:rsidR="00120EF8">
          <w:rPr>
            <w:noProof/>
            <w:webHidden/>
          </w:rPr>
          <w:fldChar w:fldCharType="separate"/>
        </w:r>
        <w:r w:rsidR="00366D7D">
          <w:rPr>
            <w:noProof/>
            <w:webHidden/>
          </w:rPr>
          <w:t>22</w:t>
        </w:r>
        <w:r w:rsidR="00120EF8">
          <w:rPr>
            <w:noProof/>
            <w:webHidden/>
          </w:rPr>
          <w:fldChar w:fldCharType="end"/>
        </w:r>
      </w:hyperlink>
    </w:p>
    <w:p w:rsidR="00120EF8" w:rsidRDefault="007E4262">
      <w:pPr>
        <w:pStyle w:val="TOC3"/>
        <w:rPr>
          <w:noProof/>
          <w:sz w:val="22"/>
          <w:szCs w:val="22"/>
        </w:rPr>
      </w:pPr>
      <w:hyperlink w:anchor="_Toc34388242" w:history="1">
        <w:r w:rsidR="00120EF8" w:rsidRPr="00112C3A">
          <w:rPr>
            <w:rStyle w:val="Hyperlink"/>
            <w:noProof/>
          </w:rPr>
          <w:t>Table 10.  Hazus Occupancy Class Descriptions</w:t>
        </w:r>
        <w:r w:rsidR="00120EF8">
          <w:rPr>
            <w:noProof/>
            <w:webHidden/>
          </w:rPr>
          <w:tab/>
        </w:r>
        <w:r w:rsidR="00120EF8">
          <w:rPr>
            <w:noProof/>
            <w:webHidden/>
          </w:rPr>
          <w:fldChar w:fldCharType="begin"/>
        </w:r>
        <w:r w:rsidR="00120EF8">
          <w:rPr>
            <w:noProof/>
            <w:webHidden/>
          </w:rPr>
          <w:instrText xml:space="preserve"> PAGEREF _Toc34388242 \h </w:instrText>
        </w:r>
        <w:r w:rsidR="00120EF8">
          <w:rPr>
            <w:noProof/>
            <w:webHidden/>
          </w:rPr>
        </w:r>
        <w:r w:rsidR="00120EF8">
          <w:rPr>
            <w:noProof/>
            <w:webHidden/>
          </w:rPr>
          <w:fldChar w:fldCharType="separate"/>
        </w:r>
        <w:r w:rsidR="00366D7D">
          <w:rPr>
            <w:noProof/>
            <w:webHidden/>
          </w:rPr>
          <w:t>23</w:t>
        </w:r>
        <w:r w:rsidR="00120EF8">
          <w:rPr>
            <w:noProof/>
            <w:webHidden/>
          </w:rPr>
          <w:fldChar w:fldCharType="end"/>
        </w:r>
      </w:hyperlink>
    </w:p>
    <w:p w:rsidR="00120EF8" w:rsidRDefault="007E4262">
      <w:pPr>
        <w:pStyle w:val="TOC3"/>
        <w:rPr>
          <w:noProof/>
          <w:sz w:val="22"/>
          <w:szCs w:val="22"/>
        </w:rPr>
      </w:pPr>
      <w:hyperlink w:anchor="_Toc34388243" w:history="1">
        <w:r w:rsidR="00120EF8" w:rsidRPr="00112C3A">
          <w:rPr>
            <w:rStyle w:val="Hyperlink"/>
            <w:noProof/>
          </w:rPr>
          <w:t>Table 11.  WV Assessment Land Use Codes</w:t>
        </w:r>
        <w:r w:rsidR="00120EF8">
          <w:rPr>
            <w:noProof/>
            <w:webHidden/>
          </w:rPr>
          <w:tab/>
        </w:r>
        <w:r w:rsidR="00120EF8">
          <w:rPr>
            <w:noProof/>
            <w:webHidden/>
          </w:rPr>
          <w:fldChar w:fldCharType="begin"/>
        </w:r>
        <w:r w:rsidR="00120EF8">
          <w:rPr>
            <w:noProof/>
            <w:webHidden/>
          </w:rPr>
          <w:instrText xml:space="preserve"> PAGEREF _Toc34388243 \h </w:instrText>
        </w:r>
        <w:r w:rsidR="00120EF8">
          <w:rPr>
            <w:noProof/>
            <w:webHidden/>
          </w:rPr>
        </w:r>
        <w:r w:rsidR="00120EF8">
          <w:rPr>
            <w:noProof/>
            <w:webHidden/>
          </w:rPr>
          <w:fldChar w:fldCharType="separate"/>
        </w:r>
        <w:r w:rsidR="00366D7D">
          <w:rPr>
            <w:noProof/>
            <w:webHidden/>
          </w:rPr>
          <w:t>27</w:t>
        </w:r>
        <w:r w:rsidR="00120EF8">
          <w:rPr>
            <w:noProof/>
            <w:webHidden/>
          </w:rPr>
          <w:fldChar w:fldCharType="end"/>
        </w:r>
      </w:hyperlink>
    </w:p>
    <w:p w:rsidR="00120EF8" w:rsidRDefault="007E4262">
      <w:pPr>
        <w:pStyle w:val="TOC3"/>
        <w:rPr>
          <w:noProof/>
          <w:sz w:val="22"/>
          <w:szCs w:val="22"/>
        </w:rPr>
      </w:pPr>
      <w:hyperlink w:anchor="_Toc34388244" w:history="1">
        <w:r w:rsidR="00120EF8" w:rsidRPr="00112C3A">
          <w:rPr>
            <w:rStyle w:val="Hyperlink"/>
            <w:noProof/>
          </w:rPr>
          <w:t>Table 12.  Average Mobile Home Appraisal Values by County</w:t>
        </w:r>
        <w:r w:rsidR="00120EF8">
          <w:rPr>
            <w:noProof/>
            <w:webHidden/>
          </w:rPr>
          <w:tab/>
        </w:r>
        <w:r w:rsidR="00120EF8">
          <w:rPr>
            <w:noProof/>
            <w:webHidden/>
          </w:rPr>
          <w:fldChar w:fldCharType="begin"/>
        </w:r>
        <w:r w:rsidR="00120EF8">
          <w:rPr>
            <w:noProof/>
            <w:webHidden/>
          </w:rPr>
          <w:instrText xml:space="preserve"> PAGEREF _Toc34388244 \h </w:instrText>
        </w:r>
        <w:r w:rsidR="00120EF8">
          <w:rPr>
            <w:noProof/>
            <w:webHidden/>
          </w:rPr>
        </w:r>
        <w:r w:rsidR="00120EF8">
          <w:rPr>
            <w:noProof/>
            <w:webHidden/>
          </w:rPr>
          <w:fldChar w:fldCharType="separate"/>
        </w:r>
        <w:r w:rsidR="00366D7D">
          <w:rPr>
            <w:noProof/>
            <w:webHidden/>
          </w:rPr>
          <w:t>34</w:t>
        </w:r>
        <w:r w:rsidR="00120EF8">
          <w:rPr>
            <w:noProof/>
            <w:webHidden/>
          </w:rPr>
          <w:fldChar w:fldCharType="end"/>
        </w:r>
      </w:hyperlink>
    </w:p>
    <w:p w:rsidR="00120EF8" w:rsidRDefault="007E4262">
      <w:pPr>
        <w:pStyle w:val="TOC3"/>
        <w:rPr>
          <w:noProof/>
          <w:sz w:val="22"/>
          <w:szCs w:val="22"/>
        </w:rPr>
      </w:pPr>
      <w:hyperlink w:anchor="_Toc34388245" w:history="1">
        <w:r w:rsidR="00120EF8" w:rsidRPr="00112C3A">
          <w:rPr>
            <w:rStyle w:val="Hyperlink"/>
            <w:noProof/>
          </w:rPr>
          <w:t>Table 13.  Data Issues and Quality Control Measures</w:t>
        </w:r>
        <w:r w:rsidR="00120EF8">
          <w:rPr>
            <w:noProof/>
            <w:webHidden/>
          </w:rPr>
          <w:tab/>
        </w:r>
        <w:r w:rsidR="00120EF8">
          <w:rPr>
            <w:noProof/>
            <w:webHidden/>
          </w:rPr>
          <w:fldChar w:fldCharType="begin"/>
        </w:r>
        <w:r w:rsidR="00120EF8">
          <w:rPr>
            <w:noProof/>
            <w:webHidden/>
          </w:rPr>
          <w:instrText xml:space="preserve"> PAGEREF _Toc34388245 \h </w:instrText>
        </w:r>
        <w:r w:rsidR="00120EF8">
          <w:rPr>
            <w:noProof/>
            <w:webHidden/>
          </w:rPr>
        </w:r>
        <w:r w:rsidR="00120EF8">
          <w:rPr>
            <w:noProof/>
            <w:webHidden/>
          </w:rPr>
          <w:fldChar w:fldCharType="separate"/>
        </w:r>
        <w:r w:rsidR="00366D7D">
          <w:rPr>
            <w:noProof/>
            <w:webHidden/>
          </w:rPr>
          <w:t>36</w:t>
        </w:r>
        <w:r w:rsidR="00120EF8">
          <w:rPr>
            <w:noProof/>
            <w:webHidden/>
          </w:rPr>
          <w:fldChar w:fldCharType="end"/>
        </w:r>
      </w:hyperlink>
    </w:p>
    <w:p w:rsidR="00120EF8" w:rsidRDefault="007E4262">
      <w:pPr>
        <w:pStyle w:val="TOC3"/>
        <w:rPr>
          <w:noProof/>
          <w:sz w:val="22"/>
          <w:szCs w:val="22"/>
        </w:rPr>
      </w:pPr>
      <w:hyperlink w:anchor="_Toc34388246" w:history="1">
        <w:r w:rsidR="00120EF8" w:rsidRPr="00112C3A">
          <w:rPr>
            <w:rStyle w:val="Hyperlink"/>
            <w:noProof/>
          </w:rPr>
          <w:t>Table 14.  Building Inventory Enhanced (BIE) Attributes</w:t>
        </w:r>
        <w:r w:rsidR="00120EF8">
          <w:rPr>
            <w:noProof/>
            <w:webHidden/>
          </w:rPr>
          <w:tab/>
        </w:r>
        <w:r w:rsidR="00120EF8">
          <w:rPr>
            <w:noProof/>
            <w:webHidden/>
          </w:rPr>
          <w:fldChar w:fldCharType="begin"/>
        </w:r>
        <w:r w:rsidR="00120EF8">
          <w:rPr>
            <w:noProof/>
            <w:webHidden/>
          </w:rPr>
          <w:instrText xml:space="preserve"> PAGEREF _Toc34388246 \h </w:instrText>
        </w:r>
        <w:r w:rsidR="00120EF8">
          <w:rPr>
            <w:noProof/>
            <w:webHidden/>
          </w:rPr>
        </w:r>
        <w:r w:rsidR="00120EF8">
          <w:rPr>
            <w:noProof/>
            <w:webHidden/>
          </w:rPr>
          <w:fldChar w:fldCharType="separate"/>
        </w:r>
        <w:r w:rsidR="00366D7D">
          <w:rPr>
            <w:noProof/>
            <w:webHidden/>
          </w:rPr>
          <w:t>37</w:t>
        </w:r>
        <w:r w:rsidR="00120EF8">
          <w:rPr>
            <w:noProof/>
            <w:webHidden/>
          </w:rPr>
          <w:fldChar w:fldCharType="end"/>
        </w:r>
      </w:hyperlink>
    </w:p>
    <w:p w:rsidR="00120EF8" w:rsidRDefault="007E4262">
      <w:pPr>
        <w:pStyle w:val="TOC3"/>
        <w:rPr>
          <w:noProof/>
          <w:sz w:val="22"/>
          <w:szCs w:val="22"/>
        </w:rPr>
      </w:pPr>
      <w:hyperlink w:anchor="_Toc34388247" w:history="1">
        <w:r w:rsidR="00120EF8" w:rsidRPr="00112C3A">
          <w:rPr>
            <w:rStyle w:val="Hyperlink"/>
            <w:noProof/>
          </w:rPr>
          <w:t>Table 15.  Hazus FAST Inputs.  Building Input FAST (BIF) Attributes</w:t>
        </w:r>
        <w:r w:rsidR="00120EF8">
          <w:rPr>
            <w:noProof/>
            <w:webHidden/>
          </w:rPr>
          <w:tab/>
        </w:r>
        <w:r w:rsidR="00120EF8">
          <w:rPr>
            <w:noProof/>
            <w:webHidden/>
          </w:rPr>
          <w:fldChar w:fldCharType="begin"/>
        </w:r>
        <w:r w:rsidR="00120EF8">
          <w:rPr>
            <w:noProof/>
            <w:webHidden/>
          </w:rPr>
          <w:instrText xml:space="preserve"> PAGEREF _Toc34388247 \h </w:instrText>
        </w:r>
        <w:r w:rsidR="00120EF8">
          <w:rPr>
            <w:noProof/>
            <w:webHidden/>
          </w:rPr>
        </w:r>
        <w:r w:rsidR="00120EF8">
          <w:rPr>
            <w:noProof/>
            <w:webHidden/>
          </w:rPr>
          <w:fldChar w:fldCharType="separate"/>
        </w:r>
        <w:r w:rsidR="00366D7D">
          <w:rPr>
            <w:noProof/>
            <w:webHidden/>
          </w:rPr>
          <w:t>39</w:t>
        </w:r>
        <w:r w:rsidR="00120EF8">
          <w:rPr>
            <w:noProof/>
            <w:webHidden/>
          </w:rPr>
          <w:fldChar w:fldCharType="end"/>
        </w:r>
      </w:hyperlink>
    </w:p>
    <w:p w:rsidR="00120EF8" w:rsidRDefault="007E4262">
      <w:pPr>
        <w:pStyle w:val="TOC3"/>
        <w:rPr>
          <w:noProof/>
          <w:sz w:val="22"/>
          <w:szCs w:val="22"/>
        </w:rPr>
      </w:pPr>
      <w:hyperlink w:anchor="_Toc34388248" w:history="1">
        <w:r w:rsidR="00120EF8" w:rsidRPr="00112C3A">
          <w:rPr>
            <w:rStyle w:val="Hyperlink"/>
            <w:noProof/>
          </w:rPr>
          <w:t>Table 16.  Hazus FAST Outputs. Building FAST Outputs (BOF)</w:t>
        </w:r>
        <w:r w:rsidR="00120EF8">
          <w:rPr>
            <w:noProof/>
            <w:webHidden/>
          </w:rPr>
          <w:tab/>
        </w:r>
        <w:r w:rsidR="00120EF8">
          <w:rPr>
            <w:noProof/>
            <w:webHidden/>
          </w:rPr>
          <w:fldChar w:fldCharType="begin"/>
        </w:r>
        <w:r w:rsidR="00120EF8">
          <w:rPr>
            <w:noProof/>
            <w:webHidden/>
          </w:rPr>
          <w:instrText xml:space="preserve"> PAGEREF _Toc34388248 \h </w:instrText>
        </w:r>
        <w:r w:rsidR="00120EF8">
          <w:rPr>
            <w:noProof/>
            <w:webHidden/>
          </w:rPr>
        </w:r>
        <w:r w:rsidR="00120EF8">
          <w:rPr>
            <w:noProof/>
            <w:webHidden/>
          </w:rPr>
          <w:fldChar w:fldCharType="separate"/>
        </w:r>
        <w:r w:rsidR="00366D7D">
          <w:rPr>
            <w:noProof/>
            <w:webHidden/>
          </w:rPr>
          <w:t>40</w:t>
        </w:r>
        <w:r w:rsidR="00120EF8">
          <w:rPr>
            <w:noProof/>
            <w:webHidden/>
          </w:rPr>
          <w:fldChar w:fldCharType="end"/>
        </w:r>
      </w:hyperlink>
    </w:p>
    <w:p w:rsidR="008634BB" w:rsidRDefault="00B07925" w:rsidP="008634BB">
      <w:pPr>
        <w:rPr>
          <w:rStyle w:val="Strong"/>
        </w:rPr>
      </w:pPr>
      <w:r>
        <w:rPr>
          <w:rStyle w:val="Strong"/>
        </w:rPr>
        <w:fldChar w:fldCharType="end"/>
      </w:r>
    </w:p>
    <w:p w:rsidR="008634BB" w:rsidRPr="008634BB" w:rsidRDefault="008634BB" w:rsidP="008634BB">
      <w:pPr>
        <w:rPr>
          <w:rStyle w:val="Strong"/>
          <w:sz w:val="24"/>
          <w:szCs w:val="24"/>
        </w:rPr>
      </w:pPr>
      <w:r w:rsidRPr="008634BB">
        <w:rPr>
          <w:rStyle w:val="Strong"/>
          <w:sz w:val="24"/>
          <w:szCs w:val="24"/>
        </w:rPr>
        <w:t>FIGURES</w:t>
      </w:r>
      <w:r w:rsidR="00965509">
        <w:rPr>
          <w:rStyle w:val="Strong"/>
          <w:sz w:val="24"/>
          <w:szCs w:val="24"/>
        </w:rPr>
        <w:t xml:space="preserve"> </w:t>
      </w:r>
    </w:p>
    <w:p w:rsidR="00120EF8" w:rsidRDefault="00B07925">
      <w:pPr>
        <w:pStyle w:val="TOC3"/>
        <w:rPr>
          <w:noProof/>
          <w:sz w:val="22"/>
          <w:szCs w:val="22"/>
        </w:rPr>
      </w:pPr>
      <w:r>
        <w:rPr>
          <w:rStyle w:val="Strong"/>
        </w:rPr>
        <w:fldChar w:fldCharType="begin"/>
      </w:r>
      <w:r w:rsidR="008634BB">
        <w:rPr>
          <w:rStyle w:val="Strong"/>
        </w:rPr>
        <w:instrText xml:space="preserve"> TOC \o "3-3" \h \z \u </w:instrText>
      </w:r>
      <w:r>
        <w:rPr>
          <w:rStyle w:val="Strong"/>
        </w:rPr>
        <w:fldChar w:fldCharType="separate"/>
      </w:r>
      <w:hyperlink w:anchor="_Toc34388249" w:history="1">
        <w:r w:rsidR="00120EF8" w:rsidRPr="003857DD">
          <w:rPr>
            <w:rStyle w:val="Hyperlink"/>
            <w:noProof/>
          </w:rPr>
          <w:t>Figure 1.  Hazus Building-Level Flood Loss Estimates</w:t>
        </w:r>
        <w:r w:rsidR="00120EF8">
          <w:rPr>
            <w:noProof/>
            <w:webHidden/>
          </w:rPr>
          <w:tab/>
        </w:r>
        <w:r w:rsidR="00120EF8">
          <w:rPr>
            <w:noProof/>
            <w:webHidden/>
          </w:rPr>
          <w:fldChar w:fldCharType="begin"/>
        </w:r>
        <w:r w:rsidR="00120EF8">
          <w:rPr>
            <w:noProof/>
            <w:webHidden/>
          </w:rPr>
          <w:instrText xml:space="preserve"> PAGEREF _Toc34388249 \h </w:instrText>
        </w:r>
        <w:r w:rsidR="00120EF8">
          <w:rPr>
            <w:noProof/>
            <w:webHidden/>
          </w:rPr>
        </w:r>
        <w:r w:rsidR="00120EF8">
          <w:rPr>
            <w:noProof/>
            <w:webHidden/>
          </w:rPr>
          <w:fldChar w:fldCharType="separate"/>
        </w:r>
        <w:r w:rsidR="00366D7D">
          <w:rPr>
            <w:noProof/>
            <w:webHidden/>
          </w:rPr>
          <w:t>1</w:t>
        </w:r>
        <w:r w:rsidR="00120EF8">
          <w:rPr>
            <w:noProof/>
            <w:webHidden/>
          </w:rPr>
          <w:fldChar w:fldCharType="end"/>
        </w:r>
      </w:hyperlink>
    </w:p>
    <w:p w:rsidR="00120EF8" w:rsidRDefault="007E4262">
      <w:pPr>
        <w:pStyle w:val="TOC3"/>
        <w:rPr>
          <w:noProof/>
          <w:sz w:val="22"/>
          <w:szCs w:val="22"/>
        </w:rPr>
      </w:pPr>
      <w:hyperlink w:anchor="_Toc34388250" w:history="1">
        <w:r w:rsidR="00120EF8" w:rsidRPr="003857DD">
          <w:rPr>
            <w:rStyle w:val="Hyperlink"/>
            <w:noProof/>
          </w:rPr>
          <w:t>Figure 2.  Flood Risk Products: Flood Risk Grids, Flood Zone Changes, Risk Per Structure</w:t>
        </w:r>
        <w:r w:rsidR="00120EF8">
          <w:rPr>
            <w:noProof/>
            <w:webHidden/>
          </w:rPr>
          <w:tab/>
        </w:r>
        <w:r w:rsidR="00120EF8">
          <w:rPr>
            <w:noProof/>
            <w:webHidden/>
          </w:rPr>
          <w:fldChar w:fldCharType="begin"/>
        </w:r>
        <w:r w:rsidR="00120EF8">
          <w:rPr>
            <w:noProof/>
            <w:webHidden/>
          </w:rPr>
          <w:instrText xml:space="preserve"> PAGEREF _Toc34388250 \h </w:instrText>
        </w:r>
        <w:r w:rsidR="00120EF8">
          <w:rPr>
            <w:noProof/>
            <w:webHidden/>
          </w:rPr>
        </w:r>
        <w:r w:rsidR="00120EF8">
          <w:rPr>
            <w:noProof/>
            <w:webHidden/>
          </w:rPr>
          <w:fldChar w:fldCharType="separate"/>
        </w:r>
        <w:r w:rsidR="00366D7D">
          <w:rPr>
            <w:noProof/>
            <w:webHidden/>
          </w:rPr>
          <w:t>12</w:t>
        </w:r>
        <w:r w:rsidR="00120EF8">
          <w:rPr>
            <w:noProof/>
            <w:webHidden/>
          </w:rPr>
          <w:fldChar w:fldCharType="end"/>
        </w:r>
      </w:hyperlink>
    </w:p>
    <w:p w:rsidR="00120EF8" w:rsidRDefault="007E4262">
      <w:pPr>
        <w:pStyle w:val="TOC3"/>
        <w:rPr>
          <w:noProof/>
          <w:sz w:val="22"/>
          <w:szCs w:val="22"/>
        </w:rPr>
      </w:pPr>
      <w:hyperlink w:anchor="_Toc34388251" w:history="1">
        <w:r w:rsidR="00120EF8" w:rsidRPr="003857DD">
          <w:rPr>
            <w:rStyle w:val="Hyperlink"/>
            <w:noProof/>
          </w:rPr>
          <w:t>Figure 3.  Building-Level Flood Risk Products</w:t>
        </w:r>
        <w:r w:rsidR="00120EF8">
          <w:rPr>
            <w:noProof/>
            <w:webHidden/>
          </w:rPr>
          <w:tab/>
        </w:r>
        <w:r w:rsidR="00120EF8">
          <w:rPr>
            <w:noProof/>
            <w:webHidden/>
          </w:rPr>
          <w:fldChar w:fldCharType="begin"/>
        </w:r>
        <w:r w:rsidR="00120EF8">
          <w:rPr>
            <w:noProof/>
            <w:webHidden/>
          </w:rPr>
          <w:instrText xml:space="preserve"> PAGEREF _Toc34388251 \h </w:instrText>
        </w:r>
        <w:r w:rsidR="00120EF8">
          <w:rPr>
            <w:noProof/>
            <w:webHidden/>
          </w:rPr>
        </w:r>
        <w:r w:rsidR="00120EF8">
          <w:rPr>
            <w:noProof/>
            <w:webHidden/>
          </w:rPr>
          <w:fldChar w:fldCharType="separate"/>
        </w:r>
        <w:r w:rsidR="00366D7D">
          <w:rPr>
            <w:noProof/>
            <w:webHidden/>
          </w:rPr>
          <w:t>13</w:t>
        </w:r>
        <w:r w:rsidR="00120EF8">
          <w:rPr>
            <w:noProof/>
            <w:webHidden/>
          </w:rPr>
          <w:fldChar w:fldCharType="end"/>
        </w:r>
      </w:hyperlink>
    </w:p>
    <w:p w:rsidR="00120EF8" w:rsidRDefault="007E4262">
      <w:pPr>
        <w:pStyle w:val="TOC3"/>
        <w:rPr>
          <w:noProof/>
          <w:sz w:val="22"/>
          <w:szCs w:val="22"/>
        </w:rPr>
      </w:pPr>
      <w:hyperlink w:anchor="_Toc34388252" w:history="1">
        <w:r w:rsidR="00120EF8" w:rsidRPr="003857DD">
          <w:rPr>
            <w:rStyle w:val="Hyperlink"/>
            <w:noProof/>
          </w:rPr>
          <w:t>Figure 4.  Building-Level Flood Risk Assessments Published to WV Flood Tool</w:t>
        </w:r>
        <w:r w:rsidR="00120EF8">
          <w:rPr>
            <w:noProof/>
            <w:webHidden/>
          </w:rPr>
          <w:tab/>
        </w:r>
        <w:r w:rsidR="00120EF8">
          <w:rPr>
            <w:noProof/>
            <w:webHidden/>
          </w:rPr>
          <w:fldChar w:fldCharType="begin"/>
        </w:r>
        <w:r w:rsidR="00120EF8">
          <w:rPr>
            <w:noProof/>
            <w:webHidden/>
          </w:rPr>
          <w:instrText xml:space="preserve"> PAGEREF _Toc34388252 \h </w:instrText>
        </w:r>
        <w:r w:rsidR="00120EF8">
          <w:rPr>
            <w:noProof/>
            <w:webHidden/>
          </w:rPr>
        </w:r>
        <w:r w:rsidR="00120EF8">
          <w:rPr>
            <w:noProof/>
            <w:webHidden/>
          </w:rPr>
          <w:fldChar w:fldCharType="separate"/>
        </w:r>
        <w:r w:rsidR="00366D7D">
          <w:rPr>
            <w:noProof/>
            <w:webHidden/>
          </w:rPr>
          <w:t>14</w:t>
        </w:r>
        <w:r w:rsidR="00120EF8">
          <w:rPr>
            <w:noProof/>
            <w:webHidden/>
          </w:rPr>
          <w:fldChar w:fldCharType="end"/>
        </w:r>
      </w:hyperlink>
    </w:p>
    <w:p w:rsidR="00120EF8" w:rsidRDefault="007E4262">
      <w:pPr>
        <w:pStyle w:val="TOC3"/>
        <w:rPr>
          <w:noProof/>
          <w:sz w:val="22"/>
          <w:szCs w:val="22"/>
        </w:rPr>
      </w:pPr>
      <w:hyperlink w:anchor="_Toc34388253" w:history="1">
        <w:r w:rsidR="00120EF8" w:rsidRPr="003857DD">
          <w:rPr>
            <w:rStyle w:val="Hyperlink"/>
            <w:noProof/>
          </w:rPr>
          <w:t>Figure 5.  WV Flood Tool, WV Property Viewer, and Web Parcel Assessment Report</w:t>
        </w:r>
        <w:r w:rsidR="00120EF8">
          <w:rPr>
            <w:noProof/>
            <w:webHidden/>
          </w:rPr>
          <w:tab/>
        </w:r>
        <w:r w:rsidR="00120EF8">
          <w:rPr>
            <w:noProof/>
            <w:webHidden/>
          </w:rPr>
          <w:fldChar w:fldCharType="begin"/>
        </w:r>
        <w:r w:rsidR="00120EF8">
          <w:rPr>
            <w:noProof/>
            <w:webHidden/>
          </w:rPr>
          <w:instrText xml:space="preserve"> PAGEREF _Toc34388253 \h </w:instrText>
        </w:r>
        <w:r w:rsidR="00120EF8">
          <w:rPr>
            <w:noProof/>
            <w:webHidden/>
          </w:rPr>
        </w:r>
        <w:r w:rsidR="00120EF8">
          <w:rPr>
            <w:noProof/>
            <w:webHidden/>
          </w:rPr>
          <w:fldChar w:fldCharType="separate"/>
        </w:r>
        <w:r w:rsidR="00366D7D">
          <w:rPr>
            <w:noProof/>
            <w:webHidden/>
          </w:rPr>
          <w:t>15</w:t>
        </w:r>
        <w:r w:rsidR="00120EF8">
          <w:rPr>
            <w:noProof/>
            <w:webHidden/>
          </w:rPr>
          <w:fldChar w:fldCharType="end"/>
        </w:r>
      </w:hyperlink>
    </w:p>
    <w:p w:rsidR="00120EF8" w:rsidRDefault="007E4262">
      <w:pPr>
        <w:pStyle w:val="TOC3"/>
        <w:rPr>
          <w:noProof/>
          <w:sz w:val="22"/>
          <w:szCs w:val="22"/>
        </w:rPr>
      </w:pPr>
      <w:hyperlink w:anchor="_Toc34388254" w:history="1">
        <w:r w:rsidR="00120EF8" w:rsidRPr="003857DD">
          <w:rPr>
            <w:rStyle w:val="Hyperlink"/>
            <w:noProof/>
          </w:rPr>
          <w:t>Figure 6.  Flood Risk Map</w:t>
        </w:r>
        <w:r w:rsidR="00120EF8">
          <w:rPr>
            <w:noProof/>
            <w:webHidden/>
          </w:rPr>
          <w:tab/>
        </w:r>
        <w:r w:rsidR="00120EF8">
          <w:rPr>
            <w:noProof/>
            <w:webHidden/>
          </w:rPr>
          <w:fldChar w:fldCharType="begin"/>
        </w:r>
        <w:r w:rsidR="00120EF8">
          <w:rPr>
            <w:noProof/>
            <w:webHidden/>
          </w:rPr>
          <w:instrText xml:space="preserve"> PAGEREF _Toc34388254 \h </w:instrText>
        </w:r>
        <w:r w:rsidR="00120EF8">
          <w:rPr>
            <w:noProof/>
            <w:webHidden/>
          </w:rPr>
        </w:r>
        <w:r w:rsidR="00120EF8">
          <w:rPr>
            <w:noProof/>
            <w:webHidden/>
          </w:rPr>
          <w:fldChar w:fldCharType="separate"/>
        </w:r>
        <w:r w:rsidR="00366D7D">
          <w:rPr>
            <w:noProof/>
            <w:webHidden/>
          </w:rPr>
          <w:t>16</w:t>
        </w:r>
        <w:r w:rsidR="00120EF8">
          <w:rPr>
            <w:noProof/>
            <w:webHidden/>
          </w:rPr>
          <w:fldChar w:fldCharType="end"/>
        </w:r>
      </w:hyperlink>
    </w:p>
    <w:p w:rsidR="00120EF8" w:rsidRDefault="007E4262">
      <w:pPr>
        <w:pStyle w:val="TOC3"/>
        <w:rPr>
          <w:noProof/>
          <w:sz w:val="22"/>
          <w:szCs w:val="22"/>
        </w:rPr>
      </w:pPr>
      <w:hyperlink w:anchor="_Toc34388255" w:history="1">
        <w:r w:rsidR="00120EF8" w:rsidRPr="003857DD">
          <w:rPr>
            <w:rStyle w:val="Hyperlink"/>
            <w:noProof/>
          </w:rPr>
          <w:t>Figure 7.  Flood Risk Database</w:t>
        </w:r>
        <w:r w:rsidR="00120EF8">
          <w:rPr>
            <w:noProof/>
            <w:webHidden/>
          </w:rPr>
          <w:tab/>
        </w:r>
        <w:r w:rsidR="00120EF8">
          <w:rPr>
            <w:noProof/>
            <w:webHidden/>
          </w:rPr>
          <w:fldChar w:fldCharType="begin"/>
        </w:r>
        <w:r w:rsidR="00120EF8">
          <w:rPr>
            <w:noProof/>
            <w:webHidden/>
          </w:rPr>
          <w:instrText xml:space="preserve"> PAGEREF _Toc34388255 \h </w:instrText>
        </w:r>
        <w:r w:rsidR="00120EF8">
          <w:rPr>
            <w:noProof/>
            <w:webHidden/>
          </w:rPr>
        </w:r>
        <w:r w:rsidR="00120EF8">
          <w:rPr>
            <w:noProof/>
            <w:webHidden/>
          </w:rPr>
          <w:fldChar w:fldCharType="separate"/>
        </w:r>
        <w:r w:rsidR="00366D7D">
          <w:rPr>
            <w:noProof/>
            <w:webHidden/>
          </w:rPr>
          <w:t>16</w:t>
        </w:r>
        <w:r w:rsidR="00120EF8">
          <w:rPr>
            <w:noProof/>
            <w:webHidden/>
          </w:rPr>
          <w:fldChar w:fldCharType="end"/>
        </w:r>
      </w:hyperlink>
    </w:p>
    <w:p w:rsidR="00120EF8" w:rsidRDefault="007E4262">
      <w:pPr>
        <w:pStyle w:val="TOC3"/>
        <w:rPr>
          <w:noProof/>
          <w:sz w:val="22"/>
          <w:szCs w:val="22"/>
        </w:rPr>
      </w:pPr>
      <w:hyperlink w:anchor="_Toc34388256" w:history="1">
        <w:r w:rsidR="00120EF8" w:rsidRPr="003857DD">
          <w:rPr>
            <w:rStyle w:val="Hyperlink"/>
            <w:rFonts w:eastAsia="Times New Roman"/>
            <w:noProof/>
          </w:rPr>
          <w:t>Figure 8.  Building-Level Flood Risk Assessment Cycle</w:t>
        </w:r>
        <w:r w:rsidR="00120EF8">
          <w:rPr>
            <w:noProof/>
            <w:webHidden/>
          </w:rPr>
          <w:tab/>
        </w:r>
        <w:r w:rsidR="00120EF8">
          <w:rPr>
            <w:noProof/>
            <w:webHidden/>
          </w:rPr>
          <w:fldChar w:fldCharType="begin"/>
        </w:r>
        <w:r w:rsidR="00120EF8">
          <w:rPr>
            <w:noProof/>
            <w:webHidden/>
          </w:rPr>
          <w:instrText xml:space="preserve"> PAGEREF _Toc34388256 \h </w:instrText>
        </w:r>
        <w:r w:rsidR="00120EF8">
          <w:rPr>
            <w:noProof/>
            <w:webHidden/>
          </w:rPr>
        </w:r>
        <w:r w:rsidR="00120EF8">
          <w:rPr>
            <w:noProof/>
            <w:webHidden/>
          </w:rPr>
          <w:fldChar w:fldCharType="separate"/>
        </w:r>
        <w:r w:rsidR="00366D7D">
          <w:rPr>
            <w:noProof/>
            <w:webHidden/>
          </w:rPr>
          <w:t>17</w:t>
        </w:r>
        <w:r w:rsidR="00120EF8">
          <w:rPr>
            <w:noProof/>
            <w:webHidden/>
          </w:rPr>
          <w:fldChar w:fldCharType="end"/>
        </w:r>
      </w:hyperlink>
    </w:p>
    <w:p w:rsidR="00120EF8" w:rsidRDefault="007E4262">
      <w:pPr>
        <w:pStyle w:val="TOC3"/>
        <w:rPr>
          <w:noProof/>
          <w:sz w:val="22"/>
          <w:szCs w:val="22"/>
        </w:rPr>
      </w:pPr>
      <w:hyperlink w:anchor="_Toc34388257" w:history="1">
        <w:r w:rsidR="00120EF8" w:rsidRPr="003857DD">
          <w:rPr>
            <w:rStyle w:val="Hyperlink"/>
            <w:rFonts w:eastAsia="Times New Roman"/>
            <w:noProof/>
          </w:rPr>
          <w:t>Figure 9.  Building Inventory Workflow</w:t>
        </w:r>
        <w:r w:rsidR="00120EF8">
          <w:rPr>
            <w:noProof/>
            <w:webHidden/>
          </w:rPr>
          <w:tab/>
        </w:r>
        <w:r w:rsidR="00120EF8">
          <w:rPr>
            <w:noProof/>
            <w:webHidden/>
          </w:rPr>
          <w:fldChar w:fldCharType="begin"/>
        </w:r>
        <w:r w:rsidR="00120EF8">
          <w:rPr>
            <w:noProof/>
            <w:webHidden/>
          </w:rPr>
          <w:instrText xml:space="preserve"> PAGEREF _Toc34388257 \h </w:instrText>
        </w:r>
        <w:r w:rsidR="00120EF8">
          <w:rPr>
            <w:noProof/>
            <w:webHidden/>
          </w:rPr>
        </w:r>
        <w:r w:rsidR="00120EF8">
          <w:rPr>
            <w:noProof/>
            <w:webHidden/>
          </w:rPr>
          <w:fldChar w:fldCharType="separate"/>
        </w:r>
        <w:r w:rsidR="00366D7D">
          <w:rPr>
            <w:noProof/>
            <w:webHidden/>
          </w:rPr>
          <w:t>17</w:t>
        </w:r>
        <w:r w:rsidR="00120EF8">
          <w:rPr>
            <w:noProof/>
            <w:webHidden/>
          </w:rPr>
          <w:fldChar w:fldCharType="end"/>
        </w:r>
      </w:hyperlink>
    </w:p>
    <w:p w:rsidR="00120EF8" w:rsidRDefault="007E4262">
      <w:pPr>
        <w:pStyle w:val="TOC3"/>
        <w:rPr>
          <w:noProof/>
          <w:sz w:val="22"/>
          <w:szCs w:val="22"/>
        </w:rPr>
      </w:pPr>
      <w:hyperlink w:anchor="_Toc34388258" w:history="1">
        <w:r w:rsidR="00120EF8" w:rsidRPr="003857DD">
          <w:rPr>
            <w:rStyle w:val="Hyperlink"/>
            <w:rFonts w:eastAsia="Times New Roman"/>
            <w:noProof/>
          </w:rPr>
          <w:t>Figure 10.  Hazus Flood Loss Flowchart</w:t>
        </w:r>
        <w:r w:rsidR="00120EF8">
          <w:rPr>
            <w:noProof/>
            <w:webHidden/>
          </w:rPr>
          <w:tab/>
        </w:r>
        <w:r w:rsidR="00120EF8">
          <w:rPr>
            <w:noProof/>
            <w:webHidden/>
          </w:rPr>
          <w:fldChar w:fldCharType="begin"/>
        </w:r>
        <w:r w:rsidR="00120EF8">
          <w:rPr>
            <w:noProof/>
            <w:webHidden/>
          </w:rPr>
          <w:instrText xml:space="preserve"> PAGEREF _Toc34388258 \h </w:instrText>
        </w:r>
        <w:r w:rsidR="00120EF8">
          <w:rPr>
            <w:noProof/>
            <w:webHidden/>
          </w:rPr>
        </w:r>
        <w:r w:rsidR="00120EF8">
          <w:rPr>
            <w:noProof/>
            <w:webHidden/>
          </w:rPr>
          <w:fldChar w:fldCharType="separate"/>
        </w:r>
        <w:r w:rsidR="00366D7D">
          <w:rPr>
            <w:noProof/>
            <w:webHidden/>
          </w:rPr>
          <w:t>18</w:t>
        </w:r>
        <w:r w:rsidR="00120EF8">
          <w:rPr>
            <w:noProof/>
            <w:webHidden/>
          </w:rPr>
          <w:fldChar w:fldCharType="end"/>
        </w:r>
      </w:hyperlink>
    </w:p>
    <w:p w:rsidR="00A90900" w:rsidRDefault="00B07925">
      <w:pPr>
        <w:rPr>
          <w:rStyle w:val="Strong"/>
          <w:rFonts w:asciiTheme="majorHAnsi" w:eastAsiaTheme="majorEastAsia" w:hAnsiTheme="majorHAnsi" w:cstheme="majorBidi"/>
          <w:b w:val="0"/>
          <w:bCs w:val="0"/>
          <w:i/>
          <w:iCs/>
          <w:color w:val="595959" w:themeColor="text1" w:themeTint="A6"/>
        </w:rPr>
      </w:pPr>
      <w:r>
        <w:rPr>
          <w:rStyle w:val="Strong"/>
        </w:rPr>
        <w:fldChar w:fldCharType="end"/>
      </w:r>
    </w:p>
    <w:p w:rsidR="00B70814" w:rsidRPr="00A361EC" w:rsidRDefault="00B70814" w:rsidP="00A361EC">
      <w:pPr>
        <w:pStyle w:val="Heading7"/>
        <w:rPr>
          <w:rStyle w:val="Strong"/>
          <w:b w:val="0"/>
          <w:bCs w:val="0"/>
        </w:rPr>
        <w:sectPr w:rsidR="00B70814" w:rsidRPr="00A361EC" w:rsidSect="0019224C">
          <w:type w:val="continuous"/>
          <w:pgSz w:w="12240" w:h="15840" w:code="1"/>
          <w:pgMar w:top="1440" w:right="1440" w:bottom="1152" w:left="1440" w:header="720" w:footer="720" w:gutter="0"/>
          <w:pgNumType w:fmt="lowerRoman" w:start="0"/>
          <w:cols w:space="720"/>
          <w:titlePg/>
          <w:docGrid w:linePitch="360"/>
        </w:sectPr>
      </w:pPr>
    </w:p>
    <w:bookmarkEnd w:id="2"/>
    <w:bookmarkEnd w:id="1"/>
    <w:bookmarkEnd w:id="0"/>
    <w:p w:rsidR="00776CEC" w:rsidRPr="00FA5AAE" w:rsidRDefault="008232EB" w:rsidP="00FA5AAE">
      <w:pPr>
        <w:spacing w:before="120" w:after="200" w:line="276" w:lineRule="auto"/>
        <w:jc w:val="center"/>
        <w:rPr>
          <w:rFonts w:cs="Arial"/>
          <w:sz w:val="44"/>
          <w:szCs w:val="44"/>
        </w:rPr>
      </w:pPr>
      <w:r>
        <w:rPr>
          <w:rFonts w:cs="Arial"/>
          <w:color w:val="7D110C" w:themeColor="accent1"/>
          <w:sz w:val="44"/>
          <w:szCs w:val="44"/>
        </w:rPr>
        <w:lastRenderedPageBreak/>
        <w:t>Methodology</w:t>
      </w:r>
    </w:p>
    <w:p w:rsidR="00167B10" w:rsidRDefault="00DE320D" w:rsidP="00167B10">
      <w:pPr>
        <w:pStyle w:val="Heading1"/>
      </w:pPr>
      <w:bookmarkStart w:id="4" w:name="_Toc445034162"/>
      <w:bookmarkStart w:id="5" w:name="_Toc34388221"/>
      <w:r>
        <w:t>Overview</w:t>
      </w:r>
      <w:bookmarkEnd w:id="4"/>
      <w:bookmarkEnd w:id="5"/>
    </w:p>
    <w:p w:rsidR="008232EB" w:rsidRPr="006408BB" w:rsidRDefault="008232EB" w:rsidP="008232EB">
      <w:pPr>
        <w:autoSpaceDE w:val="0"/>
        <w:autoSpaceDN w:val="0"/>
        <w:adjustRightInd w:val="0"/>
        <w:spacing w:after="0" w:line="240" w:lineRule="auto"/>
        <w:rPr>
          <w:rFonts w:cstheme="minorHAnsi"/>
          <w:color w:val="000000" w:themeColor="text1"/>
        </w:rPr>
      </w:pPr>
      <w:r w:rsidRPr="006408BB">
        <w:rPr>
          <w:rFonts w:cstheme="minorHAnsi"/>
          <w:color w:val="000000" w:themeColor="text1"/>
        </w:rPr>
        <w:t>Funded by a FEMA Hazard Mitigation Grant Program (HMGP) and the State Hazard Mitigation Office, building-level flood risk assessments are being completed statewide for a 1% annual chance flood (100-year) event in support of local and state hazard mitigation plans.  The building-level flood risk assessments utilize FEMA’s Flood Assessment Structure Tool (FAST), a GIS-based, open source utility designed by FEMA’s Hazus Program for estimating potential building losses from flood disasters.  FAST was built from the ArcGIS Python script developed by Oregon’s Department of Geology and Mineral Industries (DOGAMI).  A Hazus Level 2 advanced analysis increases the accuracy and precision of an analysis by incorporating user-supplied data relevant to the hazard.  The flood model results support local hazard mitigation plans and other flood reduction efforts.</w:t>
      </w:r>
    </w:p>
    <w:p w:rsidR="008232EB" w:rsidRPr="006408BB" w:rsidRDefault="008232EB" w:rsidP="008232EB">
      <w:pPr>
        <w:autoSpaceDE w:val="0"/>
        <w:autoSpaceDN w:val="0"/>
        <w:adjustRightInd w:val="0"/>
        <w:spacing w:after="0" w:line="240" w:lineRule="auto"/>
        <w:rPr>
          <w:rFonts w:cstheme="minorHAnsi"/>
          <w:color w:val="000000" w:themeColor="text1"/>
        </w:rPr>
      </w:pPr>
    </w:p>
    <w:p w:rsidR="008232EB" w:rsidRPr="006408BB" w:rsidRDefault="008232EB" w:rsidP="008232EB">
      <w:pPr>
        <w:autoSpaceDE w:val="0"/>
        <w:autoSpaceDN w:val="0"/>
        <w:adjustRightInd w:val="0"/>
        <w:spacing w:after="0" w:line="240" w:lineRule="auto"/>
        <w:rPr>
          <w:rFonts w:cstheme="minorHAnsi"/>
          <w:color w:val="000000" w:themeColor="text1"/>
        </w:rPr>
      </w:pPr>
      <w:r w:rsidRPr="006408BB">
        <w:rPr>
          <w:rFonts w:cstheme="minorHAnsi"/>
          <w:color w:val="000000" w:themeColor="text1"/>
        </w:rPr>
        <w:t>The Hazus utility employs a standardize methodology in which building and water depth inputs utilize Depth Damage Functions (DDFs) to calculate economic damage loss estimates.  The proper Depth Damage Function (DDF) is assigned based on the Occupancy Type, Foundation Type, and Number of Stories of each structure.  The First Flood Height for each structure point is subtracted from the Water Depth to calculate the Depth-in-Structure flood depth, in feet above ground level.</w:t>
      </w:r>
    </w:p>
    <w:p w:rsidR="008232EB" w:rsidRPr="008232EB" w:rsidRDefault="008232EB" w:rsidP="008232EB">
      <w:pPr>
        <w:autoSpaceDE w:val="0"/>
        <w:autoSpaceDN w:val="0"/>
        <w:adjustRightInd w:val="0"/>
        <w:spacing w:after="0" w:line="240" w:lineRule="auto"/>
        <w:rPr>
          <w:rFonts w:cstheme="minorHAnsi"/>
        </w:rPr>
      </w:pPr>
      <w:r w:rsidRPr="008232EB">
        <w:rPr>
          <w:rFonts w:cstheme="minorHAnsi"/>
        </w:rPr>
        <w:t xml:space="preserve">  </w:t>
      </w: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B40DAC">
      <w:pPr>
        <w:autoSpaceDE w:val="0"/>
        <w:autoSpaceDN w:val="0"/>
        <w:adjustRightInd w:val="0"/>
        <w:spacing w:after="0" w:line="240" w:lineRule="auto"/>
      </w:pPr>
      <w:r>
        <w:rPr>
          <w:noProof/>
        </w:rPr>
        <w:drawing>
          <wp:inline distT="0" distB="0" distL="0" distR="0" wp14:anchorId="76E84B44" wp14:editId="489C541B">
            <wp:extent cx="5943600" cy="2167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67890"/>
                    </a:xfrm>
                    <a:prstGeom prst="rect">
                      <a:avLst/>
                    </a:prstGeom>
                  </pic:spPr>
                </pic:pic>
              </a:graphicData>
            </a:graphic>
          </wp:inline>
        </w:drawing>
      </w:r>
    </w:p>
    <w:p w:rsidR="00B40DAC" w:rsidRDefault="00B40DAC" w:rsidP="00B40DAC">
      <w:pPr>
        <w:autoSpaceDE w:val="0"/>
        <w:autoSpaceDN w:val="0"/>
        <w:adjustRightInd w:val="0"/>
        <w:spacing w:after="0" w:line="240" w:lineRule="auto"/>
      </w:pPr>
    </w:p>
    <w:p w:rsidR="00B40DAC" w:rsidRPr="007C321B" w:rsidRDefault="00B40DAC" w:rsidP="00B40DAC">
      <w:pPr>
        <w:rPr>
          <w:sz w:val="22"/>
        </w:rPr>
      </w:pPr>
      <w:bookmarkStart w:id="6" w:name="_Toc34388249"/>
      <w:bookmarkStart w:id="7" w:name="_Toc34317528"/>
      <w:r w:rsidRPr="007C321B">
        <w:rPr>
          <w:rStyle w:val="Heading3Char"/>
        </w:rPr>
        <w:t>Figure 1.  Hazus Building-Level Flood Loss Estimates</w:t>
      </w:r>
      <w:bookmarkEnd w:id="6"/>
      <w:r w:rsidRPr="007C321B">
        <w:rPr>
          <w:sz w:val="22"/>
        </w:rPr>
        <w:t>.  Source:  FEMA.</w:t>
      </w:r>
      <w:bookmarkEnd w:id="7"/>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B40DAC" w:rsidRDefault="00B40DAC" w:rsidP="008232EB">
      <w:pPr>
        <w:autoSpaceDE w:val="0"/>
        <w:autoSpaceDN w:val="0"/>
        <w:adjustRightInd w:val="0"/>
        <w:spacing w:after="0" w:line="240" w:lineRule="auto"/>
        <w:rPr>
          <w:rFonts w:cstheme="minorHAnsi"/>
        </w:rPr>
      </w:pPr>
    </w:p>
    <w:p w:rsidR="008232EB" w:rsidRPr="008232EB" w:rsidRDefault="008232EB" w:rsidP="008232EB">
      <w:pPr>
        <w:autoSpaceDE w:val="0"/>
        <w:autoSpaceDN w:val="0"/>
        <w:adjustRightInd w:val="0"/>
        <w:spacing w:after="0" w:line="240" w:lineRule="auto"/>
        <w:rPr>
          <w:rFonts w:cstheme="minorHAnsi"/>
        </w:rPr>
      </w:pPr>
      <w:r w:rsidRPr="008232EB">
        <w:rPr>
          <w:rFonts w:cstheme="minorHAnsi"/>
        </w:rPr>
        <w:lastRenderedPageBreak/>
        <w:t>The FAST performs a Hazus Flood Model analysis, using the most accurate 100-year depth grid available.  It generates damage loss estimates for building, content, and inventory, building debris, and building repair/replacement times.  Population displacement estimates are computed from the Residential Occupancy Types and census average household size.  All building-level risk assessments are output to tabular reports, geodatabase, and the RiskMAP View of the WV Flood Tool.</w:t>
      </w:r>
    </w:p>
    <w:p w:rsidR="008232EB" w:rsidRPr="008232EB" w:rsidRDefault="008232EB" w:rsidP="008232EB">
      <w:pPr>
        <w:autoSpaceDE w:val="0"/>
        <w:autoSpaceDN w:val="0"/>
        <w:adjustRightInd w:val="0"/>
        <w:spacing w:after="0" w:line="240" w:lineRule="auto"/>
        <w:rPr>
          <w:rFonts w:cstheme="minorHAnsi"/>
        </w:rPr>
      </w:pPr>
    </w:p>
    <w:p w:rsidR="008232EB" w:rsidRPr="008232EB" w:rsidRDefault="008232EB" w:rsidP="008232EB">
      <w:pPr>
        <w:autoSpaceDE w:val="0"/>
        <w:autoSpaceDN w:val="0"/>
        <w:adjustRightInd w:val="0"/>
        <w:spacing w:after="0" w:line="240" w:lineRule="auto"/>
        <w:rPr>
          <w:rFonts w:cstheme="minorHAnsi"/>
        </w:rPr>
      </w:pPr>
      <w:r w:rsidRPr="008232EB">
        <w:rPr>
          <w:rFonts w:cstheme="minorHAnsi"/>
        </w:rPr>
        <w:t xml:space="preserve">The Hazus Program designed FAST to make flood risk assessments quicker, simpler, and more cost effective. FAST provides planners, analysts and policymakers with a free and user-friendly tool to characterize flood risk in their communities using completely open methods and technology.  </w:t>
      </w:r>
    </w:p>
    <w:p w:rsidR="001D6657" w:rsidRDefault="00B40DAC" w:rsidP="001D6657">
      <w:pPr>
        <w:pStyle w:val="Heading1"/>
      </w:pPr>
      <w:bookmarkStart w:id="8" w:name="_Toc34388222"/>
      <w:r>
        <w:t>Building Inventory</w:t>
      </w:r>
      <w:bookmarkEnd w:id="8"/>
    </w:p>
    <w:p w:rsidR="003E15C3" w:rsidRPr="006408BB" w:rsidRDefault="0017073B" w:rsidP="00B40DAC">
      <w:pPr>
        <w:rPr>
          <w:bCs/>
        </w:rPr>
      </w:pPr>
      <w:bookmarkStart w:id="9" w:name="_Toc445034165"/>
      <w:r>
        <w:rPr>
          <w:rFonts w:cstheme="minorHAnsi"/>
        </w:rPr>
        <w:t>D</w:t>
      </w:r>
      <w:r w:rsidR="003E15C3" w:rsidRPr="006408BB">
        <w:rPr>
          <w:rFonts w:cstheme="minorHAnsi"/>
        </w:rPr>
        <w:t xml:space="preserve">etailed building inventories are developed by pinpointing all primary structures in the </w:t>
      </w:r>
      <w:r w:rsidR="003C1096">
        <w:rPr>
          <w:rFonts w:cstheme="minorHAnsi"/>
        </w:rPr>
        <w:t>high-risk effective and advisory floodplains.</w:t>
      </w:r>
      <w:r w:rsidR="003E15C3" w:rsidRPr="006408BB">
        <w:rPr>
          <w:rFonts w:cstheme="minorHAnsi"/>
        </w:rPr>
        <w:t xml:space="preserve">  Historical and community assets (government buildings, churches) are also inventoried.  Essential facilities are inventoried to the 0.2-pecent (500-year) annual chance flood event.  Required building characteristics are Occupancy Class, Foundation Type, First Floor Height, Number of Stories, Area, and Replacement Cost</w:t>
      </w:r>
      <w:r w:rsidR="003E15C3" w:rsidRPr="00A86CF3">
        <w:rPr>
          <w:rFonts w:cstheme="minorHAnsi"/>
        </w:rPr>
        <w:t>.  Default values are populated from the</w:t>
      </w:r>
      <w:r w:rsidRPr="00A86CF3">
        <w:rPr>
          <w:rFonts w:cstheme="minorHAnsi"/>
        </w:rPr>
        <w:t xml:space="preserve"> most current</w:t>
      </w:r>
      <w:r w:rsidR="003E15C3" w:rsidRPr="00A86CF3">
        <w:rPr>
          <w:rFonts w:cstheme="minorHAnsi"/>
        </w:rPr>
        <w:t xml:space="preserve"> State Parcel Assessment Database</w:t>
      </w:r>
      <w:r w:rsidRPr="00A86CF3">
        <w:rPr>
          <w:rFonts w:cstheme="minorHAnsi"/>
        </w:rPr>
        <w:t xml:space="preserve"> which us updated annually, and then where necessary</w:t>
      </w:r>
      <w:r w:rsidR="003E15C3" w:rsidRPr="00A86CF3">
        <w:rPr>
          <w:rFonts w:cstheme="minorHAnsi"/>
        </w:rPr>
        <w:t xml:space="preserve"> modified with user-defined values</w:t>
      </w:r>
      <w:r w:rsidRPr="00A86CF3">
        <w:rPr>
          <w:rFonts w:cstheme="minorHAnsi"/>
        </w:rPr>
        <w:t xml:space="preserve"> that override the Assessment Database values</w:t>
      </w:r>
      <w:r w:rsidR="003E15C3" w:rsidRPr="00A86CF3">
        <w:rPr>
          <w:rFonts w:cstheme="minorHAnsi"/>
        </w:rPr>
        <w:t>.</w:t>
      </w:r>
      <w:r w:rsidRPr="00A86CF3">
        <w:rPr>
          <w:rFonts w:cstheme="minorHAnsi"/>
        </w:rPr>
        <w:t xml:space="preserve">  User-defined values can be entered for the building address, parcel geometry and assessment identifiers, essential building characteristics, and base flood water depth.  </w:t>
      </w:r>
      <w:r w:rsidR="003E15C3" w:rsidRPr="00A86CF3">
        <w:rPr>
          <w:rFonts w:cstheme="minorHAnsi"/>
        </w:rPr>
        <w:t>Building pictures can be linked to the risk assessment using the unique building identifier.</w:t>
      </w:r>
      <w:r w:rsidR="003E15C3" w:rsidRPr="006408BB">
        <w:rPr>
          <w:rFonts w:cstheme="minorHAnsi"/>
        </w:rPr>
        <w:t xml:space="preserve">  </w:t>
      </w:r>
    </w:p>
    <w:p w:rsidR="00B40DAC" w:rsidRPr="006408BB" w:rsidRDefault="00B40DAC" w:rsidP="00B40DAC">
      <w:pPr>
        <w:rPr>
          <w:bCs/>
        </w:rPr>
      </w:pPr>
      <w:r w:rsidRPr="006408BB">
        <w:rPr>
          <w:bCs/>
        </w:rPr>
        <w:t>GIS Specialists use desktop mapping software to pinpoint the building location to the most restrictive flood zone, identify insurable primary structures, match building points to the correct building assessment records, complete missing building attributes, and modify default assessment building values with user-supplied values.  The following GIS Reference Layers are used to improve the location accuracy and building attributes:  E-911 Addresses, Parcels/Attributes, Aerial Imagery, Building Footprints, Street View Pictures, Elevation Certificates, and other building reference databases.  All the building points in the Special Flood Hazard Area and High-Risk Advisory Zones are manually captured, processed, and</w:t>
      </w:r>
      <w:r w:rsidR="003E15C3" w:rsidRPr="006408BB">
        <w:rPr>
          <w:bCs/>
        </w:rPr>
        <w:t xml:space="preserve"> then quality checked using nine square mile grids</w:t>
      </w:r>
      <w:r w:rsidRPr="006408BB">
        <w:rPr>
          <w:bCs/>
        </w:rPr>
        <w:t>. Data error flags are recorded for missing assessment values, parcel misalignments, missing E-911 address numbers, etc.</w:t>
      </w:r>
      <w:r w:rsidR="003E15C3" w:rsidRPr="006408BB">
        <w:rPr>
          <w:bCs/>
        </w:rPr>
        <w:t xml:space="preserve">  User-supplied values that override the default assessment values are recorded as red text in the building inventory tables.  </w:t>
      </w:r>
      <w:r w:rsidRPr="006408BB">
        <w:rPr>
          <w:bCs/>
        </w:rPr>
        <w:t>A unique</w:t>
      </w:r>
      <w:r w:rsidR="003E15C3" w:rsidRPr="006408BB">
        <w:rPr>
          <w:bCs/>
        </w:rPr>
        <w:t xml:space="preserve"> building identifier is formed</w:t>
      </w:r>
      <w:r w:rsidRPr="006408BB">
        <w:rPr>
          <w:bCs/>
        </w:rPr>
        <w:t xml:space="preserve"> from concatenating the Parcel ID and Building Address Number.</w:t>
      </w:r>
    </w:p>
    <w:p w:rsidR="00A56915" w:rsidRDefault="00B40DAC" w:rsidP="00A56915">
      <w:pPr>
        <w:pStyle w:val="Heading1"/>
      </w:pPr>
      <w:bookmarkStart w:id="10" w:name="_Toc34388223"/>
      <w:r>
        <w:t>Water Depth Grid</w:t>
      </w:r>
      <w:r w:rsidR="00A75F3E">
        <w:t>s</w:t>
      </w:r>
      <w:bookmarkEnd w:id="10"/>
    </w:p>
    <w:p w:rsidR="00B40DAC" w:rsidRPr="006408BB" w:rsidRDefault="00B40DAC" w:rsidP="00B40DAC">
      <w:pPr>
        <w:autoSpaceDE w:val="0"/>
        <w:autoSpaceDN w:val="0"/>
        <w:adjustRightInd w:val="0"/>
        <w:rPr>
          <w:rFonts w:cstheme="minorHAnsi"/>
        </w:rPr>
      </w:pPr>
      <w:r w:rsidRPr="006408BB">
        <w:rPr>
          <w:rFonts w:cstheme="minorHAnsi"/>
        </w:rPr>
        <w:t xml:space="preserve">The Water Depth Grid communicates information about the flood depth for a 1-percent (100-year) annual chance flood.  Flood Depth Grids illustrate the flood depth, in feet above the ground surface, to demonstrate the variability of flood depths in flood prone areas.  Officials can use depth grids to help individuals visualize the depth of flooding their home might experience; an easier concept than understanding a base flood elevation.  The depth grid, combined with an inventory of the built environment, is used by the Hazus Flood Model to determine flood loss potential, by applying the appropriate depth- damage curves.  </w:t>
      </w:r>
      <w:r w:rsidR="003E15C3" w:rsidRPr="006408BB">
        <w:rPr>
          <w:rFonts w:cstheme="minorHAnsi"/>
        </w:rPr>
        <w:t xml:space="preserve">For the Flood Model Analysis, </w:t>
      </w:r>
      <w:r w:rsidRPr="006408BB">
        <w:rPr>
          <w:rFonts w:cstheme="minorHAnsi"/>
        </w:rPr>
        <w:t>Model-</w:t>
      </w:r>
      <w:r w:rsidR="003E15C3" w:rsidRPr="006408BB">
        <w:rPr>
          <w:rFonts w:cstheme="minorHAnsi"/>
        </w:rPr>
        <w:t>B</w:t>
      </w:r>
      <w:r w:rsidRPr="006408BB">
        <w:rPr>
          <w:rFonts w:cstheme="minorHAnsi"/>
        </w:rPr>
        <w:t xml:space="preserve">acked </w:t>
      </w:r>
      <w:r w:rsidR="003E15C3" w:rsidRPr="006408BB">
        <w:rPr>
          <w:rFonts w:cstheme="minorHAnsi"/>
        </w:rPr>
        <w:t>Depth Grids created from engineering software like HEC-RAS are</w:t>
      </w:r>
      <w:r w:rsidRPr="006408BB">
        <w:rPr>
          <w:rFonts w:cstheme="minorHAnsi"/>
        </w:rPr>
        <w:t xml:space="preserve"> preferred </w:t>
      </w:r>
      <w:r w:rsidR="00A75F3E" w:rsidRPr="006408BB">
        <w:rPr>
          <w:rFonts w:cstheme="minorHAnsi"/>
        </w:rPr>
        <w:t>over</w:t>
      </w:r>
      <w:r w:rsidR="003E15C3" w:rsidRPr="006408BB">
        <w:rPr>
          <w:rFonts w:cstheme="minorHAnsi"/>
        </w:rPr>
        <w:t xml:space="preserve"> the less-accurate </w:t>
      </w:r>
      <w:r w:rsidRPr="006408BB">
        <w:rPr>
          <w:rFonts w:cstheme="minorHAnsi"/>
        </w:rPr>
        <w:t>Hazus</w:t>
      </w:r>
      <w:r w:rsidR="003E15C3" w:rsidRPr="006408BB">
        <w:rPr>
          <w:rFonts w:cstheme="minorHAnsi"/>
        </w:rPr>
        <w:t xml:space="preserve"> Depth Grids</w:t>
      </w:r>
      <w:r w:rsidRPr="006408BB">
        <w:rPr>
          <w:rFonts w:cstheme="minorHAnsi"/>
        </w:rPr>
        <w:t xml:space="preserve">.  In the WV Flood Tool, the Water Depth is displayed in the (1) Flood Results Query Panel, (2) Flood Risk Layers Menu, and (3) 3D Flood Visualization. </w:t>
      </w:r>
    </w:p>
    <w:p w:rsidR="00C56C61" w:rsidRDefault="003A682E" w:rsidP="00B40DAC">
      <w:pPr>
        <w:pStyle w:val="Heading1"/>
      </w:pPr>
      <w:r>
        <w:rPr>
          <w:rFonts w:ascii="Calibri" w:hAnsi="Calibri"/>
          <w:sz w:val="22"/>
          <w:szCs w:val="22"/>
        </w:rPr>
        <w:lastRenderedPageBreak/>
        <w:br/>
      </w:r>
      <w:bookmarkStart w:id="11" w:name="_Toc34388224"/>
      <w:bookmarkEnd w:id="9"/>
      <w:r w:rsidR="00B40DAC">
        <w:t>Flood Risk Assessment Products</w:t>
      </w:r>
      <w:bookmarkEnd w:id="11"/>
    </w:p>
    <w:p w:rsidR="00B40DAC" w:rsidRPr="006408BB" w:rsidRDefault="00A75F3E" w:rsidP="00B40DAC">
      <w:pPr>
        <w:autoSpaceDE w:val="0"/>
        <w:autoSpaceDN w:val="0"/>
        <w:adjustRightInd w:val="0"/>
        <w:rPr>
          <w:rFonts w:cstheme="minorHAnsi"/>
        </w:rPr>
      </w:pPr>
      <w:r w:rsidRPr="006408BB">
        <w:rPr>
          <w:rFonts w:cstheme="minorHAnsi"/>
        </w:rPr>
        <w:t>Flood Risk Products are presented at the building and community levels</w:t>
      </w:r>
      <w:r w:rsidR="008502F6" w:rsidRPr="006408BB">
        <w:rPr>
          <w:rFonts w:cstheme="minorHAnsi"/>
        </w:rPr>
        <w:t xml:space="preserve"> for each county</w:t>
      </w:r>
      <w:r w:rsidRPr="006408BB">
        <w:rPr>
          <w:rFonts w:cstheme="minorHAnsi"/>
        </w:rPr>
        <w:t>.  Primary products include a Flood Risk Report</w:t>
      </w:r>
      <w:r w:rsidR="008502F6" w:rsidRPr="006408BB">
        <w:rPr>
          <w:rFonts w:cstheme="minorHAnsi"/>
        </w:rPr>
        <w:t xml:space="preserve">, </w:t>
      </w:r>
      <w:r w:rsidRPr="006408BB">
        <w:rPr>
          <w:rFonts w:cstheme="minorHAnsi"/>
        </w:rPr>
        <w:t>Flood Risk Map,</w:t>
      </w:r>
      <w:r w:rsidR="008502F6" w:rsidRPr="006408BB">
        <w:rPr>
          <w:rFonts w:cstheme="minorHAnsi"/>
        </w:rPr>
        <w:t xml:space="preserve"> Flood Risk Database, Flood Risk Tables, Flood Risk Grids (Water Depth, Water Surface Elevation), Flood Zone Changes resulting from active or future flood</w:t>
      </w:r>
      <w:r w:rsidR="00A37CA2" w:rsidRPr="006408BB">
        <w:rPr>
          <w:rFonts w:cstheme="minorHAnsi"/>
        </w:rPr>
        <w:t xml:space="preserve"> map</w:t>
      </w:r>
      <w:r w:rsidR="008502F6" w:rsidRPr="006408BB">
        <w:rPr>
          <w:rFonts w:cstheme="minorHAnsi"/>
        </w:rPr>
        <w:t xml:space="preserve"> studies, and Building-Level Flood Risk Assessments.</w:t>
      </w:r>
      <w:r w:rsidR="00A37CA2" w:rsidRPr="006408BB">
        <w:rPr>
          <w:rFonts w:cstheme="minorHAnsi"/>
        </w:rPr>
        <w:t xml:space="preserve">  Building Exposure information like structure values, occupancy type, owner occupancy, and </w:t>
      </w:r>
      <w:r w:rsidR="00A40F94" w:rsidRPr="006408BB">
        <w:rPr>
          <w:rFonts w:cstheme="minorHAnsi"/>
        </w:rPr>
        <w:t xml:space="preserve">household population are tabulated per structure.  </w:t>
      </w:r>
      <w:r w:rsidR="00A37CA2" w:rsidRPr="006408BB">
        <w:rPr>
          <w:rFonts w:cstheme="minorHAnsi"/>
        </w:rPr>
        <w:t xml:space="preserve">The Hazus Flood Model calculates per structure Building Damage Loss Estimates, Debris Removal, </w:t>
      </w:r>
      <w:r w:rsidR="00A40F94" w:rsidRPr="006408BB">
        <w:rPr>
          <w:rFonts w:cstheme="minorHAnsi"/>
        </w:rPr>
        <w:t xml:space="preserve">and </w:t>
      </w:r>
      <w:r w:rsidR="00A37CA2" w:rsidRPr="006408BB">
        <w:rPr>
          <w:rFonts w:cstheme="minorHAnsi"/>
        </w:rPr>
        <w:t>Restoration Time</w:t>
      </w:r>
      <w:r w:rsidR="00A40F94" w:rsidRPr="006408BB">
        <w:rPr>
          <w:rFonts w:cstheme="minorHAnsi"/>
        </w:rPr>
        <w:t xml:space="preserve"> for a</w:t>
      </w:r>
      <w:r w:rsidR="00A37CA2" w:rsidRPr="006408BB">
        <w:rPr>
          <w:rFonts w:cstheme="minorHAnsi"/>
        </w:rPr>
        <w:t xml:space="preserve"> 1% annual chance flood event.</w:t>
      </w:r>
      <w:r w:rsidR="00A40F94" w:rsidRPr="006408BB">
        <w:rPr>
          <w:rFonts w:cstheme="minorHAnsi"/>
        </w:rPr>
        <w:t xml:space="preserve">  The Population Displacement is computed per residential structure from the building inventory and census average household size which provide inputs for Short-Term Shelter Models.  </w:t>
      </w:r>
      <w:r w:rsidR="008502F6" w:rsidRPr="006408BB">
        <w:rPr>
          <w:rFonts w:cstheme="minorHAnsi"/>
        </w:rPr>
        <w:t xml:space="preserve">Other </w:t>
      </w:r>
      <w:r w:rsidR="0017073B">
        <w:rPr>
          <w:rFonts w:cstheme="minorHAnsi"/>
        </w:rPr>
        <w:t xml:space="preserve">data layers and </w:t>
      </w:r>
      <w:r w:rsidR="008502F6" w:rsidRPr="006408BB">
        <w:rPr>
          <w:rFonts w:cstheme="minorHAnsi"/>
        </w:rPr>
        <w:t>products which support flood</w:t>
      </w:r>
      <w:r w:rsidR="00A37CA2" w:rsidRPr="006408BB">
        <w:rPr>
          <w:rFonts w:cstheme="minorHAnsi"/>
        </w:rPr>
        <w:t>plain</w:t>
      </w:r>
      <w:r w:rsidR="008502F6" w:rsidRPr="006408BB">
        <w:rPr>
          <w:rFonts w:cstheme="minorHAnsi"/>
        </w:rPr>
        <w:t xml:space="preserve"> management</w:t>
      </w:r>
      <w:r w:rsidR="00A37CA2" w:rsidRPr="006408BB">
        <w:rPr>
          <w:rFonts w:cstheme="minorHAnsi"/>
        </w:rPr>
        <w:t xml:space="preserve"> and </w:t>
      </w:r>
      <w:r w:rsidR="008502F6" w:rsidRPr="006408BB">
        <w:rPr>
          <w:rFonts w:cstheme="minorHAnsi"/>
        </w:rPr>
        <w:t>risk assessment</w:t>
      </w:r>
      <w:r w:rsidR="00A37CA2" w:rsidRPr="006408BB">
        <w:rPr>
          <w:rFonts w:cstheme="minorHAnsi"/>
        </w:rPr>
        <w:t xml:space="preserve">s </w:t>
      </w:r>
      <w:r w:rsidR="008502F6" w:rsidRPr="006408BB">
        <w:rPr>
          <w:rFonts w:cstheme="minorHAnsi"/>
        </w:rPr>
        <w:t xml:space="preserve">include dams, levees, landslides, high-water marks, LOMA verified points, elevation certificates, assessment reports, CRS program variables, </w:t>
      </w:r>
      <w:r w:rsidR="00A37CA2" w:rsidRPr="006408BB">
        <w:rPr>
          <w:rFonts w:cstheme="minorHAnsi"/>
        </w:rPr>
        <w:t xml:space="preserve">and </w:t>
      </w:r>
      <w:r w:rsidR="008502F6" w:rsidRPr="006408BB">
        <w:rPr>
          <w:rFonts w:cstheme="minorHAnsi"/>
        </w:rPr>
        <w:t xml:space="preserve">3D flood </w:t>
      </w:r>
      <w:r w:rsidR="00A37CA2" w:rsidRPr="006408BB">
        <w:rPr>
          <w:rFonts w:cstheme="minorHAnsi"/>
        </w:rPr>
        <w:t>visualizations.</w:t>
      </w:r>
      <w:r w:rsidR="00A40F94" w:rsidRPr="006408BB">
        <w:rPr>
          <w:rFonts w:cstheme="minorHAnsi"/>
        </w:rPr>
        <w:t xml:space="preserve">  </w:t>
      </w:r>
      <w:r w:rsidR="008502F6" w:rsidRPr="006408BB">
        <w:rPr>
          <w:rFonts w:cstheme="minorHAnsi"/>
        </w:rPr>
        <w:t>Building</w:t>
      </w:r>
      <w:r w:rsidRPr="006408BB">
        <w:rPr>
          <w:rFonts w:cstheme="minorHAnsi"/>
        </w:rPr>
        <w:t xml:space="preserve"> Flood Risk Products are viewable in both </w:t>
      </w:r>
      <w:r w:rsidR="00B40DAC" w:rsidRPr="006408BB">
        <w:rPr>
          <w:rFonts w:cstheme="minorHAnsi"/>
        </w:rPr>
        <w:t>tabular or graphical formats.</w:t>
      </w:r>
      <w:r w:rsidR="00A40F94" w:rsidRPr="006408BB">
        <w:rPr>
          <w:rFonts w:cstheme="minorHAnsi"/>
        </w:rPr>
        <w:t xml:space="preserve">  Building-level risk assessments are aggregated to </w:t>
      </w:r>
      <w:r w:rsidR="0017073B">
        <w:rPr>
          <w:rFonts w:cstheme="minorHAnsi"/>
        </w:rPr>
        <w:t xml:space="preserve">the </w:t>
      </w:r>
      <w:r w:rsidR="00A40F94" w:rsidRPr="006408BB">
        <w:rPr>
          <w:rFonts w:cstheme="minorHAnsi"/>
        </w:rPr>
        <w:t>community-level, which in turn can be summarized at the regional and state levels.  Risk assessment reports can also be generated at the stream and watershed levels.</w:t>
      </w:r>
    </w:p>
    <w:p w:rsidR="000E4851" w:rsidRDefault="0017073B" w:rsidP="000E4851">
      <w:r>
        <w:t xml:space="preserve">Although the </w:t>
      </w:r>
      <w:r w:rsidR="000E4851" w:rsidRPr="006408BB">
        <w:t>Flood Risk Reports and data are organized primarily at the community and building levels</w:t>
      </w:r>
      <w:r>
        <w:t>, u</w:t>
      </w:r>
      <w:r w:rsidR="000E4851" w:rsidRPr="006408BB">
        <w:t>ser</w:t>
      </w:r>
      <w:r>
        <w:t>s</w:t>
      </w:r>
      <w:r w:rsidR="000E4851" w:rsidRPr="006408BB">
        <w:t xml:space="preserve"> can access the detailed risk assessments of each structure</w:t>
      </w:r>
      <w:r>
        <w:t xml:space="preserve"> by viewing the Flood Risk Tables or WV Flood Tool</w:t>
      </w:r>
      <w:r w:rsidR="000E4851" w:rsidRPr="006408BB">
        <w:t>.  Mitigation layers (e.g., buyout properties, open space preservation) provide information for communities to identify flood reduction activities.</w:t>
      </w:r>
      <w:r w:rsidR="006408BB">
        <w:t xml:space="preserve">  FEMA’s </w:t>
      </w:r>
      <w:r w:rsidR="006408BB" w:rsidRPr="006408BB">
        <w:t>Community Engagement Prioritization Tool</w:t>
      </w:r>
      <w:r w:rsidR="006408BB">
        <w:t xml:space="preserve"> (CEP-Tool) will be used to rank communities by risk indicators and prioritize for engagement.</w:t>
      </w:r>
    </w:p>
    <w:p w:rsidR="006408BB" w:rsidRDefault="006408BB" w:rsidP="000E4851"/>
    <w:p w:rsidR="006408BB" w:rsidRPr="000E4851" w:rsidRDefault="006408BB" w:rsidP="000E4851"/>
    <w:p w:rsidR="000E4851" w:rsidRDefault="000E4851" w:rsidP="000E4851">
      <w:pPr>
        <w:pStyle w:val="Heading2"/>
      </w:pPr>
      <w:bookmarkStart w:id="12" w:name="_Toc34388225"/>
      <w:r>
        <w:t>Community Exposure and Risk</w:t>
      </w:r>
      <w:bookmarkEnd w:id="12"/>
      <w:r>
        <w:t xml:space="preserve"> </w:t>
      </w:r>
    </w:p>
    <w:p w:rsidR="000E4851" w:rsidRDefault="000E4851" w:rsidP="000E4851"/>
    <w:p w:rsidR="000E4851" w:rsidRPr="006408BB" w:rsidRDefault="000E4851" w:rsidP="000E4851">
      <w:r w:rsidRPr="006408BB">
        <w:t xml:space="preserve">There are 287 communities (232 municipalities and 55 unincorporated counties), 11 planning regions, and 55 counties. </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Demographic / Social Vulnerability</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Population Growth</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Population in SFHA</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Social Vulnerability (SOVI)</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 xml:space="preserve">Ownership </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Income</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Age</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Land Use / Impervious Surfaces</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Historical Flooding</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Presidential-Declared Disasters</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Date of Last Disaster</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High Water Marks</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Insurance Claims</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Insurance Policies</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lastRenderedPageBreak/>
        <w:t>Flood Zones</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Stream Miles</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Regulatory Floodway</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High-Risk Advisory Zones (Advisory A, Updated AE, Preliminary NFHL)</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 xml:space="preserve"> Area in SFHA (</w:t>
      </w:r>
      <w:proofErr w:type="spellStart"/>
      <w:r w:rsidRPr="006408BB">
        <w:rPr>
          <w:rFonts w:cstheme="minorHAnsi"/>
        </w:rPr>
        <w:t>aSFHA</w:t>
      </w:r>
      <w:proofErr w:type="spellEnd"/>
      <w:r w:rsidRPr="006408BB">
        <w:rPr>
          <w:rFonts w:cstheme="minorHAnsi"/>
        </w:rPr>
        <w:t>)</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Structures Summary</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 xml:space="preserve">Buildings in SFHA (counts, values, occupancy class, etc.) </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Facilities (Essential, Community, Government)</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Historical</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Repetitive Loss Structures</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Dams and Levees</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Transportation Infrastructure (Roads / Bridges)</w:t>
      </w:r>
    </w:p>
    <w:p w:rsidR="000E4851" w:rsidRPr="006408BB" w:rsidRDefault="000E4851" w:rsidP="000E4851">
      <w:pPr>
        <w:pStyle w:val="ListParagraph"/>
        <w:numPr>
          <w:ilvl w:val="0"/>
          <w:numId w:val="15"/>
        </w:numPr>
        <w:autoSpaceDE w:val="0"/>
        <w:autoSpaceDN w:val="0"/>
        <w:adjustRightInd w:val="0"/>
        <w:rPr>
          <w:rFonts w:cstheme="minorHAnsi"/>
        </w:rPr>
      </w:pPr>
      <w:r w:rsidRPr="006408BB">
        <w:rPr>
          <w:rFonts w:cstheme="minorHAnsi"/>
        </w:rPr>
        <w:t>Flood Risk Assessment Summary</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Building Damage</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Debris Removal</w:t>
      </w:r>
    </w:p>
    <w:p w:rsidR="000E4851" w:rsidRPr="006408BB" w:rsidRDefault="000E4851" w:rsidP="000E4851">
      <w:pPr>
        <w:pStyle w:val="ListParagraph"/>
        <w:numPr>
          <w:ilvl w:val="1"/>
          <w:numId w:val="15"/>
        </w:numPr>
        <w:autoSpaceDE w:val="0"/>
        <w:autoSpaceDN w:val="0"/>
        <w:adjustRightInd w:val="0"/>
        <w:rPr>
          <w:rFonts w:cstheme="minorHAnsi"/>
        </w:rPr>
      </w:pPr>
      <w:r w:rsidRPr="006408BB">
        <w:rPr>
          <w:rFonts w:cstheme="minorHAnsi"/>
        </w:rPr>
        <w:t>Population Displaced</w:t>
      </w:r>
    </w:p>
    <w:p w:rsidR="000E4851" w:rsidRPr="006408BB" w:rsidRDefault="000E4851" w:rsidP="000E4851">
      <w:pPr>
        <w:pStyle w:val="ListParagraph"/>
        <w:numPr>
          <w:ilvl w:val="2"/>
          <w:numId w:val="15"/>
        </w:numPr>
        <w:autoSpaceDE w:val="0"/>
        <w:autoSpaceDN w:val="0"/>
        <w:adjustRightInd w:val="0"/>
        <w:rPr>
          <w:rFonts w:cstheme="minorHAnsi"/>
        </w:rPr>
      </w:pPr>
      <w:r w:rsidRPr="006408BB">
        <w:rPr>
          <w:rFonts w:cstheme="minorHAnsi"/>
        </w:rPr>
        <w:t>Short-Term Sheltering</w:t>
      </w:r>
    </w:p>
    <w:p w:rsidR="000E4851" w:rsidRPr="006408BB" w:rsidRDefault="000E4851" w:rsidP="000E4851">
      <w:pPr>
        <w:pStyle w:val="ListParagraph"/>
        <w:numPr>
          <w:ilvl w:val="2"/>
          <w:numId w:val="15"/>
        </w:numPr>
        <w:autoSpaceDE w:val="0"/>
        <w:autoSpaceDN w:val="0"/>
        <w:adjustRightInd w:val="0"/>
        <w:rPr>
          <w:rFonts w:cstheme="minorHAnsi"/>
        </w:rPr>
      </w:pPr>
      <w:r w:rsidRPr="006408BB">
        <w:rPr>
          <w:rFonts w:cstheme="minorHAnsi"/>
        </w:rPr>
        <w:t>Companion Pets</w:t>
      </w:r>
    </w:p>
    <w:p w:rsidR="000E4851" w:rsidRDefault="000E4851" w:rsidP="000E4851"/>
    <w:p w:rsidR="000E4851" w:rsidRDefault="000E4851" w:rsidP="000E4851"/>
    <w:p w:rsidR="006408BB" w:rsidRPr="000E4851" w:rsidRDefault="006408BB" w:rsidP="000E4851"/>
    <w:p w:rsidR="00E12A5D" w:rsidRDefault="00E12A5D" w:rsidP="00E12A5D">
      <w:pPr>
        <w:pStyle w:val="Heading2"/>
      </w:pPr>
      <w:bookmarkStart w:id="13" w:name="_Toc34388226"/>
      <w:r>
        <w:t>Building</w:t>
      </w:r>
      <w:r w:rsidR="00EE4981">
        <w:t>-Level</w:t>
      </w:r>
      <w:r>
        <w:t xml:space="preserve"> Exposure</w:t>
      </w:r>
      <w:bookmarkEnd w:id="13"/>
    </w:p>
    <w:p w:rsidR="00A975E9" w:rsidRDefault="002A2865" w:rsidP="00E12A5D">
      <w:pPr>
        <w:autoSpaceDE w:val="0"/>
        <w:autoSpaceDN w:val="0"/>
        <w:adjustRightInd w:val="0"/>
        <w:rPr>
          <w:rFonts w:cstheme="minorHAnsi"/>
          <w:color w:val="363636"/>
        </w:rPr>
      </w:pPr>
      <w:r>
        <w:rPr>
          <w:rFonts w:cstheme="minorHAnsi"/>
          <w:color w:val="363636"/>
        </w:rPr>
        <w:br/>
        <w:t>The data variables below identify flood exposure to buildings and communities:</w:t>
      </w:r>
    </w:p>
    <w:p w:rsidR="00CD7D26" w:rsidRPr="006408BB" w:rsidRDefault="00CD7D26" w:rsidP="00A975E9">
      <w:pPr>
        <w:autoSpaceDE w:val="0"/>
        <w:autoSpaceDN w:val="0"/>
        <w:adjustRightInd w:val="0"/>
        <w:rPr>
          <w:u w:val="single"/>
        </w:rPr>
      </w:pPr>
    </w:p>
    <w:p w:rsidR="00CD7D26" w:rsidRPr="006408BB" w:rsidRDefault="00CD7D26" w:rsidP="00A975E9">
      <w:pPr>
        <w:autoSpaceDE w:val="0"/>
        <w:autoSpaceDN w:val="0"/>
        <w:adjustRightInd w:val="0"/>
        <w:rPr>
          <w:u w:val="single"/>
        </w:rPr>
      </w:pPr>
      <w:r w:rsidRPr="006408BB">
        <w:rPr>
          <w:u w:val="single"/>
        </w:rPr>
        <w:t>Flood Zone</w:t>
      </w:r>
      <w:r w:rsidR="002A2865" w:rsidRPr="006408BB">
        <w:rPr>
          <w:u w:val="single"/>
        </w:rPr>
        <w:t>s</w:t>
      </w:r>
    </w:p>
    <w:p w:rsidR="00CD7D26" w:rsidRPr="006408BB" w:rsidRDefault="00CD7D26" w:rsidP="006900E8">
      <w:pPr>
        <w:pStyle w:val="ListParagraph"/>
        <w:numPr>
          <w:ilvl w:val="0"/>
          <w:numId w:val="13"/>
        </w:numPr>
        <w:autoSpaceDE w:val="0"/>
        <w:autoSpaceDN w:val="0"/>
        <w:adjustRightInd w:val="0"/>
        <w:rPr>
          <w:rFonts w:cstheme="minorHAnsi"/>
        </w:rPr>
      </w:pPr>
      <w:r w:rsidRPr="006408BB">
        <w:rPr>
          <w:rFonts w:cstheme="minorHAnsi"/>
        </w:rPr>
        <w:t>Regulatory / Non-Regulatory / Floodway</w:t>
      </w:r>
    </w:p>
    <w:p w:rsidR="004E7A65" w:rsidRPr="006408BB" w:rsidRDefault="004E7A65" w:rsidP="006900E8">
      <w:pPr>
        <w:pStyle w:val="ListParagraph"/>
        <w:numPr>
          <w:ilvl w:val="0"/>
          <w:numId w:val="13"/>
        </w:numPr>
        <w:autoSpaceDE w:val="0"/>
        <w:autoSpaceDN w:val="0"/>
        <w:adjustRightInd w:val="0"/>
        <w:rPr>
          <w:rFonts w:cstheme="minorHAnsi"/>
        </w:rPr>
      </w:pPr>
      <w:r w:rsidRPr="006408BB">
        <w:rPr>
          <w:rFonts w:cstheme="minorHAnsi"/>
        </w:rPr>
        <w:t>High-Risk Advisory Zones / Future Map Conditions</w:t>
      </w:r>
    </w:p>
    <w:p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Mapped-In SFHA</w:t>
      </w:r>
    </w:p>
    <w:p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Mapped-Out SFHA</w:t>
      </w:r>
    </w:p>
    <w:p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No Change SFHA</w:t>
      </w:r>
    </w:p>
    <w:p w:rsidR="006637DD" w:rsidRPr="006408BB" w:rsidRDefault="00CD7D26" w:rsidP="006900E8">
      <w:pPr>
        <w:pStyle w:val="ListParagraph"/>
        <w:numPr>
          <w:ilvl w:val="1"/>
          <w:numId w:val="13"/>
        </w:numPr>
        <w:autoSpaceDE w:val="0"/>
        <w:autoSpaceDN w:val="0"/>
        <w:adjustRightInd w:val="0"/>
        <w:rPr>
          <w:rFonts w:cstheme="minorHAnsi"/>
        </w:rPr>
      </w:pPr>
      <w:r w:rsidRPr="006408BB">
        <w:rPr>
          <w:rFonts w:cstheme="minorHAnsi"/>
        </w:rPr>
        <w:t>Floodway</w:t>
      </w:r>
    </w:p>
    <w:p w:rsidR="00EE4981" w:rsidRPr="006408BB" w:rsidRDefault="00EE4981" w:rsidP="006900E8">
      <w:pPr>
        <w:pStyle w:val="ListParagraph"/>
        <w:numPr>
          <w:ilvl w:val="0"/>
          <w:numId w:val="13"/>
        </w:numPr>
        <w:autoSpaceDE w:val="0"/>
        <w:autoSpaceDN w:val="0"/>
        <w:adjustRightInd w:val="0"/>
        <w:rPr>
          <w:rFonts w:cstheme="minorHAnsi"/>
        </w:rPr>
      </w:pPr>
      <w:r w:rsidRPr="006408BB">
        <w:rPr>
          <w:rFonts w:cstheme="minorHAnsi"/>
        </w:rPr>
        <w:t>LOMA (Positional Accuracy Verified)</w:t>
      </w:r>
    </w:p>
    <w:p w:rsidR="00EE4981" w:rsidRPr="006408BB" w:rsidRDefault="00EE4981" w:rsidP="006900E8">
      <w:pPr>
        <w:pStyle w:val="ListParagraph"/>
        <w:numPr>
          <w:ilvl w:val="1"/>
          <w:numId w:val="13"/>
        </w:numPr>
        <w:autoSpaceDE w:val="0"/>
        <w:autoSpaceDN w:val="0"/>
        <w:adjustRightInd w:val="0"/>
        <w:rPr>
          <w:rFonts w:cstheme="minorHAnsi"/>
        </w:rPr>
      </w:pPr>
      <w:r w:rsidRPr="006408BB">
        <w:rPr>
          <w:rFonts w:cstheme="minorHAnsi"/>
        </w:rPr>
        <w:t>Structure Removal</w:t>
      </w:r>
    </w:p>
    <w:p w:rsidR="00EE4981" w:rsidRPr="006408BB" w:rsidRDefault="00EE4981" w:rsidP="006900E8">
      <w:pPr>
        <w:pStyle w:val="ListParagraph"/>
        <w:numPr>
          <w:ilvl w:val="1"/>
          <w:numId w:val="13"/>
        </w:numPr>
        <w:autoSpaceDE w:val="0"/>
        <w:autoSpaceDN w:val="0"/>
        <w:adjustRightInd w:val="0"/>
        <w:rPr>
          <w:rFonts w:cstheme="minorHAnsi"/>
        </w:rPr>
      </w:pPr>
      <w:r w:rsidRPr="006408BB">
        <w:rPr>
          <w:rFonts w:cstheme="minorHAnsi"/>
        </w:rPr>
        <w:t>Structure Non-Removal</w:t>
      </w:r>
    </w:p>
    <w:p w:rsidR="00CD7D26" w:rsidRPr="006408BB" w:rsidRDefault="00EE4981" w:rsidP="006900E8">
      <w:pPr>
        <w:pStyle w:val="ListParagraph"/>
        <w:numPr>
          <w:ilvl w:val="1"/>
          <w:numId w:val="13"/>
        </w:numPr>
        <w:autoSpaceDE w:val="0"/>
        <w:autoSpaceDN w:val="0"/>
        <w:adjustRightInd w:val="0"/>
        <w:rPr>
          <w:rFonts w:cstheme="minorHAnsi"/>
        </w:rPr>
      </w:pPr>
      <w:r w:rsidRPr="006408BB">
        <w:rPr>
          <w:rFonts w:cstheme="minorHAnsi"/>
        </w:rPr>
        <w:t>Structure Out as Shown</w:t>
      </w:r>
      <w:r w:rsidR="00CD7D26" w:rsidRPr="006408BB">
        <w:rPr>
          <w:rFonts w:cstheme="minorHAnsi"/>
        </w:rPr>
        <w:t xml:space="preserve"> </w:t>
      </w:r>
    </w:p>
    <w:p w:rsidR="004E7A65" w:rsidRPr="006408BB" w:rsidRDefault="004E7A65" w:rsidP="006900E8">
      <w:pPr>
        <w:pStyle w:val="ListParagraph"/>
        <w:numPr>
          <w:ilvl w:val="0"/>
          <w:numId w:val="13"/>
        </w:numPr>
        <w:autoSpaceDE w:val="0"/>
        <w:autoSpaceDN w:val="0"/>
        <w:adjustRightInd w:val="0"/>
        <w:rPr>
          <w:rFonts w:cstheme="minorHAnsi"/>
        </w:rPr>
      </w:pPr>
      <w:r w:rsidRPr="006408BB">
        <w:rPr>
          <w:rFonts w:cstheme="minorHAnsi"/>
        </w:rPr>
        <w:t>Flooding Source</w:t>
      </w:r>
      <w:r w:rsidR="002A2865" w:rsidRPr="006408BB">
        <w:rPr>
          <w:rFonts w:cstheme="minorHAnsi"/>
        </w:rPr>
        <w:t xml:space="preserve"> by Stream Name / Watershed</w:t>
      </w:r>
    </w:p>
    <w:p w:rsidR="006637DD" w:rsidRPr="006408BB" w:rsidRDefault="006637DD" w:rsidP="006900E8">
      <w:pPr>
        <w:pStyle w:val="ListParagraph"/>
        <w:numPr>
          <w:ilvl w:val="0"/>
          <w:numId w:val="13"/>
        </w:numPr>
        <w:autoSpaceDE w:val="0"/>
        <w:autoSpaceDN w:val="0"/>
        <w:adjustRightInd w:val="0"/>
        <w:rPr>
          <w:rFonts w:cstheme="minorHAnsi"/>
        </w:rPr>
      </w:pPr>
      <w:r w:rsidRPr="006408BB">
        <w:rPr>
          <w:rFonts w:cstheme="minorHAnsi"/>
        </w:rPr>
        <w:t>Population in SFHA</w:t>
      </w:r>
    </w:p>
    <w:p w:rsidR="00CD7D26" w:rsidRDefault="00CD7D26" w:rsidP="00A975E9">
      <w:pPr>
        <w:autoSpaceDE w:val="0"/>
        <w:autoSpaceDN w:val="0"/>
        <w:adjustRightInd w:val="0"/>
        <w:rPr>
          <w:u w:val="single"/>
        </w:rPr>
      </w:pPr>
    </w:p>
    <w:p w:rsidR="006408BB" w:rsidRPr="00A975E9" w:rsidRDefault="006408BB" w:rsidP="00A975E9">
      <w:pPr>
        <w:autoSpaceDE w:val="0"/>
        <w:autoSpaceDN w:val="0"/>
        <w:adjustRightInd w:val="0"/>
        <w:rPr>
          <w:u w:val="single"/>
        </w:rPr>
      </w:pPr>
    </w:p>
    <w:p w:rsidR="0080292B" w:rsidRDefault="0080292B" w:rsidP="00A975E9">
      <w:pPr>
        <w:autoSpaceDE w:val="0"/>
        <w:autoSpaceDN w:val="0"/>
        <w:adjustRightInd w:val="0"/>
        <w:rPr>
          <w:u w:val="single"/>
        </w:rPr>
      </w:pPr>
    </w:p>
    <w:p w:rsidR="00A975E9" w:rsidRPr="00A975E9" w:rsidRDefault="00A975E9" w:rsidP="00A975E9">
      <w:pPr>
        <w:autoSpaceDE w:val="0"/>
        <w:autoSpaceDN w:val="0"/>
        <w:adjustRightInd w:val="0"/>
        <w:rPr>
          <w:u w:val="single"/>
        </w:rPr>
      </w:pPr>
      <w:r w:rsidRPr="00A975E9">
        <w:rPr>
          <w:u w:val="single"/>
        </w:rPr>
        <w:t>Water Depth</w:t>
      </w:r>
    </w:p>
    <w:p w:rsidR="00A975E9" w:rsidRDefault="00A975E9" w:rsidP="006900E8">
      <w:pPr>
        <w:pStyle w:val="ListParagraph"/>
        <w:numPr>
          <w:ilvl w:val="0"/>
          <w:numId w:val="14"/>
        </w:numPr>
        <w:autoSpaceDE w:val="0"/>
        <w:autoSpaceDN w:val="0"/>
        <w:adjustRightInd w:val="0"/>
      </w:pPr>
      <w:r>
        <w:t>Water Depth</w:t>
      </w:r>
    </w:p>
    <w:p w:rsidR="00A975E9" w:rsidRDefault="00A975E9" w:rsidP="006900E8">
      <w:pPr>
        <w:pStyle w:val="ListParagraph"/>
        <w:numPr>
          <w:ilvl w:val="0"/>
          <w:numId w:val="14"/>
        </w:numPr>
        <w:autoSpaceDE w:val="0"/>
        <w:autoSpaceDN w:val="0"/>
        <w:adjustRightInd w:val="0"/>
      </w:pPr>
      <w:r>
        <w:t>Water Depth-in-Structure</w:t>
      </w:r>
    </w:p>
    <w:p w:rsidR="00A975E9" w:rsidRDefault="00A975E9" w:rsidP="006900E8">
      <w:pPr>
        <w:pStyle w:val="ListParagraph"/>
        <w:numPr>
          <w:ilvl w:val="0"/>
          <w:numId w:val="14"/>
        </w:numPr>
        <w:autoSpaceDE w:val="0"/>
        <w:autoSpaceDN w:val="0"/>
        <w:adjustRightInd w:val="0"/>
      </w:pPr>
      <w:r>
        <w:t>Water Surface Elevation</w:t>
      </w:r>
    </w:p>
    <w:p w:rsidR="00A40F94" w:rsidRDefault="00A40F94" w:rsidP="00A40F94">
      <w:pPr>
        <w:autoSpaceDE w:val="0"/>
        <w:autoSpaceDN w:val="0"/>
        <w:adjustRightInd w:val="0"/>
      </w:pPr>
    </w:p>
    <w:p w:rsidR="000E4851" w:rsidRPr="006408BB" w:rsidRDefault="000E4851" w:rsidP="000E4851">
      <w:pPr>
        <w:autoSpaceDE w:val="0"/>
        <w:autoSpaceDN w:val="0"/>
        <w:adjustRightInd w:val="0"/>
        <w:rPr>
          <w:rFonts w:cstheme="minorHAnsi"/>
          <w:u w:val="single"/>
        </w:rPr>
      </w:pPr>
      <w:r w:rsidRPr="006408BB">
        <w:rPr>
          <w:rFonts w:cstheme="minorHAnsi"/>
          <w:u w:val="single"/>
        </w:rPr>
        <w:t>Structures</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Exposure</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Exposure Cost</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Occupancy Class (Residential/Commercial/Other)</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Owner Occupied / Rental</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 xml:space="preserve">Basement / Foundation Type </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First-Floor Height / Lowest Floor</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Building Year / Construction / New Development (Pre-FRIM, Post-FIRM)</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Essential Facilities / Community Assets</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Historical Structure</w:t>
      </w:r>
    </w:p>
    <w:p w:rsidR="000E4851" w:rsidRPr="006408BB" w:rsidRDefault="000E4851" w:rsidP="000E4851">
      <w:pPr>
        <w:pStyle w:val="ListParagraph"/>
        <w:numPr>
          <w:ilvl w:val="0"/>
          <w:numId w:val="12"/>
        </w:numPr>
        <w:autoSpaceDE w:val="0"/>
        <w:autoSpaceDN w:val="0"/>
        <w:adjustRightInd w:val="0"/>
        <w:rPr>
          <w:rFonts w:cstheme="minorHAnsi"/>
        </w:rPr>
      </w:pPr>
      <w:r w:rsidRPr="006408BB">
        <w:rPr>
          <w:rFonts w:cstheme="minorHAnsi"/>
        </w:rPr>
        <w:t>Riparian Zone Structure</w:t>
      </w:r>
    </w:p>
    <w:p w:rsidR="00A40F94" w:rsidRDefault="00A40F94" w:rsidP="00A40F94">
      <w:pPr>
        <w:autoSpaceDE w:val="0"/>
        <w:autoSpaceDN w:val="0"/>
        <w:adjustRightInd w:val="0"/>
      </w:pPr>
    </w:p>
    <w:p w:rsidR="006408BB" w:rsidRDefault="006408BB" w:rsidP="00A40F94">
      <w:pPr>
        <w:autoSpaceDE w:val="0"/>
        <w:autoSpaceDN w:val="0"/>
        <w:adjustRightInd w:val="0"/>
      </w:pPr>
    </w:p>
    <w:p w:rsidR="006408BB" w:rsidRDefault="006408BB" w:rsidP="00A40F94">
      <w:pPr>
        <w:autoSpaceDE w:val="0"/>
        <w:autoSpaceDN w:val="0"/>
        <w:adjustRightInd w:val="0"/>
      </w:pPr>
    </w:p>
    <w:p w:rsidR="006408BB" w:rsidRDefault="006408BB" w:rsidP="00A40F94">
      <w:pPr>
        <w:autoSpaceDE w:val="0"/>
        <w:autoSpaceDN w:val="0"/>
        <w:adjustRightInd w:val="0"/>
      </w:pPr>
    </w:p>
    <w:p w:rsidR="00E12A5D" w:rsidRDefault="006637DD" w:rsidP="00190D09">
      <w:pPr>
        <w:pStyle w:val="Heading2"/>
      </w:pPr>
      <w:bookmarkStart w:id="14" w:name="_Toc34388227"/>
      <w:r>
        <w:t>Building</w:t>
      </w:r>
      <w:r w:rsidR="00EE4981">
        <w:t>-Level</w:t>
      </w:r>
      <w:r>
        <w:t xml:space="preserve"> </w:t>
      </w:r>
      <w:r w:rsidR="00E12A5D">
        <w:t>Flood Risk Assessment</w:t>
      </w:r>
      <w:bookmarkEnd w:id="14"/>
    </w:p>
    <w:p w:rsidR="00A975E9" w:rsidRDefault="00A975E9" w:rsidP="00A975E9">
      <w:pPr>
        <w:autoSpaceDE w:val="0"/>
        <w:autoSpaceDN w:val="0"/>
        <w:adjustRightInd w:val="0"/>
        <w:rPr>
          <w:rFonts w:cstheme="minorHAnsi"/>
          <w:color w:val="363636"/>
        </w:rPr>
      </w:pPr>
    </w:p>
    <w:p w:rsidR="002A2865" w:rsidRDefault="002A2865" w:rsidP="002A2865">
      <w:pPr>
        <w:autoSpaceDE w:val="0"/>
        <w:autoSpaceDN w:val="0"/>
        <w:adjustRightInd w:val="0"/>
        <w:rPr>
          <w:rFonts w:cstheme="minorHAnsi"/>
        </w:rPr>
      </w:pPr>
      <w:r w:rsidRPr="006408BB">
        <w:rPr>
          <w:rFonts w:cstheme="minorHAnsi"/>
        </w:rPr>
        <w:t>Site-specific flood assessments</w:t>
      </w:r>
      <w:r w:rsidR="000E4851" w:rsidRPr="006408BB">
        <w:rPr>
          <w:rFonts w:cstheme="minorHAnsi"/>
        </w:rPr>
        <w:t xml:space="preserve"> are conducted for a 1% annual chance flood (100-year flood) event.  FEMA’s </w:t>
      </w:r>
      <w:proofErr w:type="spellStart"/>
      <w:r w:rsidR="000E4851" w:rsidRPr="006408BB">
        <w:rPr>
          <w:rFonts w:cstheme="minorHAnsi"/>
        </w:rPr>
        <w:t>OpenHazus</w:t>
      </w:r>
      <w:proofErr w:type="spellEnd"/>
      <w:r w:rsidR="000E4851" w:rsidRPr="006408BB">
        <w:rPr>
          <w:rFonts w:cstheme="minorHAnsi"/>
        </w:rPr>
        <w:t xml:space="preserve"> Flood Assessment Structure Tool is employed for the Flood Analysis Model.</w:t>
      </w:r>
    </w:p>
    <w:p w:rsidR="006408BB" w:rsidRPr="006408BB" w:rsidRDefault="006408BB" w:rsidP="002A2865">
      <w:pPr>
        <w:autoSpaceDE w:val="0"/>
        <w:autoSpaceDN w:val="0"/>
        <w:adjustRightInd w:val="0"/>
        <w:rPr>
          <w:rFonts w:cstheme="minorHAnsi"/>
        </w:rPr>
      </w:pPr>
    </w:p>
    <w:p w:rsidR="00CD7D26" w:rsidRPr="006408BB" w:rsidRDefault="00CD7D26" w:rsidP="006900E8">
      <w:pPr>
        <w:pStyle w:val="ListParagraph"/>
        <w:numPr>
          <w:ilvl w:val="0"/>
          <w:numId w:val="15"/>
        </w:numPr>
        <w:autoSpaceDE w:val="0"/>
        <w:autoSpaceDN w:val="0"/>
        <w:adjustRightInd w:val="0"/>
        <w:rPr>
          <w:rFonts w:cstheme="minorHAnsi"/>
        </w:rPr>
      </w:pPr>
      <w:r w:rsidRPr="006408BB">
        <w:rPr>
          <w:rFonts w:cstheme="minorHAnsi"/>
        </w:rPr>
        <w:t>Building Damage Percent</w:t>
      </w:r>
      <w:r w:rsidR="004E7A65" w:rsidRPr="006408BB">
        <w:rPr>
          <w:rFonts w:cstheme="minorHAnsi"/>
        </w:rPr>
        <w:t xml:space="preserve"> (Hazus)</w:t>
      </w:r>
    </w:p>
    <w:p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Building Damage Loss</w:t>
      </w:r>
      <w:r w:rsidR="00CD7D26" w:rsidRPr="006408BB">
        <w:rPr>
          <w:rFonts w:cstheme="minorHAnsi"/>
        </w:rPr>
        <w:t xml:space="preserve"> U.S. Dollars</w:t>
      </w:r>
      <w:r w:rsidR="004E7A65" w:rsidRPr="006408BB">
        <w:rPr>
          <w:rFonts w:cstheme="minorHAnsi"/>
        </w:rPr>
        <w:t xml:space="preserve"> (Hazus)</w:t>
      </w:r>
    </w:p>
    <w:p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Content and Inventory Loss</w:t>
      </w:r>
      <w:r w:rsidR="004E7A65" w:rsidRPr="006408BB">
        <w:rPr>
          <w:rFonts w:cstheme="minorHAnsi"/>
        </w:rPr>
        <w:t xml:space="preserve"> (Hazus)</w:t>
      </w:r>
    </w:p>
    <w:p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Debris Removal</w:t>
      </w:r>
      <w:r w:rsidR="004E7A65" w:rsidRPr="006408BB">
        <w:rPr>
          <w:rFonts w:cstheme="minorHAnsi"/>
        </w:rPr>
        <w:t xml:space="preserve"> (Hazus)</w:t>
      </w:r>
    </w:p>
    <w:p w:rsidR="00A975E9" w:rsidRPr="006408BB" w:rsidRDefault="00A975E9" w:rsidP="006900E8">
      <w:pPr>
        <w:pStyle w:val="ListParagraph"/>
        <w:numPr>
          <w:ilvl w:val="0"/>
          <w:numId w:val="15"/>
        </w:numPr>
        <w:autoSpaceDE w:val="0"/>
        <w:autoSpaceDN w:val="0"/>
        <w:adjustRightInd w:val="0"/>
        <w:rPr>
          <w:rFonts w:cstheme="minorHAnsi"/>
        </w:rPr>
      </w:pPr>
      <w:r w:rsidRPr="006408BB">
        <w:rPr>
          <w:rFonts w:cstheme="minorHAnsi"/>
        </w:rPr>
        <w:t>Restoration Time</w:t>
      </w:r>
      <w:r w:rsidR="004E7A65" w:rsidRPr="006408BB">
        <w:rPr>
          <w:rFonts w:cstheme="minorHAnsi"/>
        </w:rPr>
        <w:t xml:space="preserve"> (Hazus)</w:t>
      </w:r>
    </w:p>
    <w:p w:rsidR="00A975E9" w:rsidRPr="006408BB" w:rsidRDefault="00A975E9" w:rsidP="006900E8">
      <w:pPr>
        <w:pStyle w:val="ListParagraph"/>
        <w:numPr>
          <w:ilvl w:val="0"/>
          <w:numId w:val="15"/>
        </w:numPr>
      </w:pPr>
      <w:r w:rsidRPr="006408BB">
        <w:t>Population Displacement</w:t>
      </w:r>
    </w:p>
    <w:p w:rsidR="007C321B" w:rsidRDefault="007C321B" w:rsidP="007C321B">
      <w:pPr>
        <w:autoSpaceDE w:val="0"/>
        <w:autoSpaceDN w:val="0"/>
        <w:adjustRightInd w:val="0"/>
        <w:spacing w:after="0" w:line="240" w:lineRule="auto"/>
      </w:pPr>
    </w:p>
    <w:p w:rsidR="00A95BC1" w:rsidRDefault="00A95BC1" w:rsidP="00A95BC1">
      <w:pPr>
        <w:pStyle w:val="ListParagraph"/>
        <w:autoSpaceDE w:val="0"/>
        <w:autoSpaceDN w:val="0"/>
        <w:adjustRightInd w:val="0"/>
        <w:rPr>
          <w:rFonts w:cstheme="minorHAnsi"/>
          <w:color w:val="363636"/>
        </w:rPr>
      </w:pPr>
    </w:p>
    <w:p w:rsidR="00EE4981" w:rsidRPr="002A2865" w:rsidRDefault="00EE4981" w:rsidP="00EE4981">
      <w:pPr>
        <w:pStyle w:val="ListParagraph"/>
        <w:autoSpaceDE w:val="0"/>
        <w:autoSpaceDN w:val="0"/>
        <w:adjustRightInd w:val="0"/>
        <w:rPr>
          <w:rFonts w:cstheme="minorHAnsi"/>
          <w:color w:val="363636"/>
        </w:rPr>
      </w:pPr>
    </w:p>
    <w:p w:rsidR="006408BB" w:rsidRDefault="006408BB">
      <w:pPr>
        <w:rPr>
          <w:rFonts w:asciiTheme="majorHAnsi" w:eastAsiaTheme="majorEastAsia" w:hAnsiTheme="majorHAnsi" w:cstheme="majorBidi"/>
          <w:color w:val="5D0C09" w:themeColor="accent1" w:themeShade="BF"/>
          <w:sz w:val="28"/>
          <w:szCs w:val="28"/>
          <w:shd w:val="clear" w:color="auto" w:fill="F2F2F2" w:themeFill="background1" w:themeFillShade="F2"/>
        </w:rPr>
      </w:pPr>
      <w:r>
        <w:br w:type="page"/>
      </w:r>
    </w:p>
    <w:p w:rsidR="002A2865" w:rsidRDefault="002A2865" w:rsidP="002A2865">
      <w:pPr>
        <w:pStyle w:val="Heading2"/>
      </w:pPr>
      <w:bookmarkStart w:id="15" w:name="_Toc34388228"/>
      <w:r>
        <w:lastRenderedPageBreak/>
        <w:t>Mitigation Opportunities</w:t>
      </w:r>
      <w:bookmarkEnd w:id="15"/>
    </w:p>
    <w:p w:rsidR="00A975E9" w:rsidRDefault="00A975E9" w:rsidP="007C321B">
      <w:pPr>
        <w:autoSpaceDE w:val="0"/>
        <w:autoSpaceDN w:val="0"/>
        <w:adjustRightInd w:val="0"/>
        <w:spacing w:after="0" w:line="240" w:lineRule="auto"/>
      </w:pPr>
    </w:p>
    <w:p w:rsidR="002A2865" w:rsidRDefault="002A2865" w:rsidP="007C321B">
      <w:pPr>
        <w:autoSpaceDE w:val="0"/>
        <w:autoSpaceDN w:val="0"/>
        <w:adjustRightInd w:val="0"/>
        <w:spacing w:after="0" w:line="240" w:lineRule="auto"/>
      </w:pPr>
      <w:r>
        <w:t xml:space="preserve">Factors </w:t>
      </w:r>
      <w:r w:rsidR="0007784C">
        <w:t>to identify flood reduction measures and areas of mitigation interest</w:t>
      </w:r>
      <w:r w:rsidR="00EE4981">
        <w:t>:</w:t>
      </w:r>
    </w:p>
    <w:p w:rsidR="002A2865" w:rsidRDefault="002A2865" w:rsidP="007C321B">
      <w:pPr>
        <w:autoSpaceDE w:val="0"/>
        <w:autoSpaceDN w:val="0"/>
        <w:adjustRightInd w:val="0"/>
        <w:spacing w:after="0" w:line="240" w:lineRule="auto"/>
      </w:pPr>
    </w:p>
    <w:p w:rsidR="006637DD" w:rsidRPr="007A403E" w:rsidRDefault="006637DD" w:rsidP="006900E8">
      <w:pPr>
        <w:pStyle w:val="ListParagraph"/>
        <w:numPr>
          <w:ilvl w:val="0"/>
          <w:numId w:val="15"/>
        </w:numPr>
        <w:autoSpaceDE w:val="0"/>
        <w:autoSpaceDN w:val="0"/>
        <w:adjustRightInd w:val="0"/>
        <w:rPr>
          <w:rFonts w:cstheme="minorHAnsi"/>
          <w:color w:val="000000" w:themeColor="text1"/>
        </w:rPr>
      </w:pPr>
      <w:r w:rsidRPr="007A403E">
        <w:rPr>
          <w:rFonts w:cstheme="minorHAnsi"/>
          <w:color w:val="000000" w:themeColor="text1"/>
        </w:rPr>
        <w:t>Open Space Preservation / Restore Floodplain to Natural Functions</w:t>
      </w:r>
    </w:p>
    <w:p w:rsidR="002A2865" w:rsidRPr="007A403E" w:rsidRDefault="002A2865"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Buyout Properties</w:t>
      </w:r>
      <w:r w:rsidR="006637DD" w:rsidRPr="007A403E">
        <w:rPr>
          <w:rFonts w:cstheme="minorHAnsi"/>
          <w:color w:val="000000" w:themeColor="text1"/>
        </w:rPr>
        <w:t xml:space="preserve"> (Deed-Restricted)</w:t>
      </w:r>
      <w:r w:rsidR="00975794" w:rsidRPr="007A403E">
        <w:rPr>
          <w:rFonts w:cstheme="minorHAnsi"/>
          <w:color w:val="000000" w:themeColor="text1"/>
        </w:rPr>
        <w:t xml:space="preserve"> </w:t>
      </w:r>
    </w:p>
    <w:p w:rsidR="00975794" w:rsidRPr="007A403E" w:rsidRDefault="002A2865"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Public</w:t>
      </w:r>
      <w:r w:rsidR="00975794" w:rsidRPr="007A403E">
        <w:rPr>
          <w:rFonts w:cstheme="minorHAnsi"/>
          <w:color w:val="000000" w:themeColor="text1"/>
        </w:rPr>
        <w:t xml:space="preserve"> Lands</w:t>
      </w:r>
    </w:p>
    <w:p w:rsidR="002A2865" w:rsidRPr="007A403E" w:rsidRDefault="00975794"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Private Lands</w:t>
      </w:r>
    </w:p>
    <w:p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Riparian Zones</w:t>
      </w:r>
    </w:p>
    <w:p w:rsidR="00A95BC1" w:rsidRPr="007A403E" w:rsidRDefault="00A95BC1" w:rsidP="006900E8">
      <w:pPr>
        <w:pStyle w:val="ListParagraph"/>
        <w:numPr>
          <w:ilvl w:val="0"/>
          <w:numId w:val="15"/>
        </w:numPr>
        <w:autoSpaceDE w:val="0"/>
        <w:autoSpaceDN w:val="0"/>
        <w:adjustRightInd w:val="0"/>
        <w:rPr>
          <w:rFonts w:cstheme="minorHAnsi"/>
          <w:color w:val="000000" w:themeColor="text1"/>
        </w:rPr>
      </w:pPr>
      <w:r w:rsidRPr="007A403E">
        <w:rPr>
          <w:rFonts w:cstheme="minorHAnsi"/>
          <w:color w:val="000000" w:themeColor="text1"/>
        </w:rPr>
        <w:t>Natural Flood Zone Functions</w:t>
      </w:r>
    </w:p>
    <w:p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Riparian Zones</w:t>
      </w:r>
    </w:p>
    <w:p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Wetlands</w:t>
      </w:r>
    </w:p>
    <w:p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Habitat</w:t>
      </w:r>
    </w:p>
    <w:p w:rsidR="00A95BC1" w:rsidRPr="007A403E" w:rsidRDefault="00A95BC1" w:rsidP="006900E8">
      <w:pPr>
        <w:pStyle w:val="ListParagraph"/>
        <w:numPr>
          <w:ilvl w:val="1"/>
          <w:numId w:val="15"/>
        </w:numPr>
        <w:autoSpaceDE w:val="0"/>
        <w:autoSpaceDN w:val="0"/>
        <w:adjustRightInd w:val="0"/>
        <w:rPr>
          <w:rFonts w:cstheme="minorHAnsi"/>
          <w:color w:val="000000" w:themeColor="text1"/>
        </w:rPr>
      </w:pPr>
      <w:r w:rsidRPr="007A403E">
        <w:rPr>
          <w:rFonts w:cstheme="minorHAnsi"/>
          <w:color w:val="000000" w:themeColor="text1"/>
        </w:rPr>
        <w:t>Permeable Surfaces</w:t>
      </w:r>
    </w:p>
    <w:p w:rsidR="002A2865" w:rsidRPr="007A403E" w:rsidRDefault="002A2865" w:rsidP="006900E8">
      <w:pPr>
        <w:pStyle w:val="ListParagraph"/>
        <w:numPr>
          <w:ilvl w:val="0"/>
          <w:numId w:val="15"/>
        </w:numPr>
        <w:autoSpaceDE w:val="0"/>
        <w:autoSpaceDN w:val="0"/>
        <w:adjustRightInd w:val="0"/>
        <w:rPr>
          <w:rFonts w:cstheme="minorHAnsi"/>
          <w:color w:val="000000" w:themeColor="text1"/>
        </w:rPr>
      </w:pPr>
      <w:r w:rsidRPr="007A403E">
        <w:rPr>
          <w:rFonts w:cstheme="minorHAnsi"/>
          <w:color w:val="000000" w:themeColor="text1"/>
        </w:rPr>
        <w:t>Repetitive Loss Structures</w:t>
      </w:r>
    </w:p>
    <w:p w:rsidR="002A2865" w:rsidRPr="007A403E" w:rsidRDefault="002A2865" w:rsidP="006900E8">
      <w:pPr>
        <w:pStyle w:val="ListParagraph"/>
        <w:numPr>
          <w:ilvl w:val="0"/>
          <w:numId w:val="15"/>
        </w:numPr>
        <w:rPr>
          <w:color w:val="000000" w:themeColor="text1"/>
        </w:rPr>
      </w:pPr>
      <w:r w:rsidRPr="007A403E">
        <w:rPr>
          <w:rFonts w:cstheme="minorHAnsi"/>
          <w:color w:val="000000" w:themeColor="text1"/>
        </w:rPr>
        <w:t>Community Rating System (CRS) Class</w:t>
      </w:r>
      <w:r w:rsidR="006637DD" w:rsidRPr="007A403E">
        <w:rPr>
          <w:rFonts w:cstheme="minorHAnsi"/>
          <w:color w:val="000000" w:themeColor="text1"/>
        </w:rPr>
        <w:t xml:space="preserve"> </w:t>
      </w:r>
    </w:p>
    <w:p w:rsidR="006637DD" w:rsidRPr="007A403E" w:rsidRDefault="006637DD" w:rsidP="006900E8">
      <w:pPr>
        <w:pStyle w:val="ListParagraph"/>
        <w:numPr>
          <w:ilvl w:val="0"/>
          <w:numId w:val="15"/>
        </w:numPr>
        <w:rPr>
          <w:color w:val="000000" w:themeColor="text1"/>
        </w:rPr>
      </w:pPr>
      <w:r w:rsidRPr="007A403E">
        <w:rPr>
          <w:rFonts w:cstheme="minorHAnsi"/>
          <w:color w:val="000000" w:themeColor="text1"/>
        </w:rPr>
        <w:t>Adoption of Higher Standards</w:t>
      </w:r>
      <w:r w:rsidR="00A95BC1" w:rsidRPr="007A403E">
        <w:rPr>
          <w:rFonts w:cstheme="minorHAnsi"/>
          <w:color w:val="000000" w:themeColor="text1"/>
        </w:rPr>
        <w:t xml:space="preserve"> / Building Code Standards</w:t>
      </w:r>
    </w:p>
    <w:p w:rsidR="006637DD" w:rsidRPr="007A403E" w:rsidRDefault="006637DD" w:rsidP="006900E8">
      <w:pPr>
        <w:pStyle w:val="ListParagraph"/>
        <w:numPr>
          <w:ilvl w:val="0"/>
          <w:numId w:val="15"/>
        </w:numPr>
        <w:rPr>
          <w:color w:val="000000" w:themeColor="text1"/>
        </w:rPr>
      </w:pPr>
      <w:r w:rsidRPr="007A403E">
        <w:rPr>
          <w:rFonts w:cstheme="minorHAnsi"/>
          <w:color w:val="000000" w:themeColor="text1"/>
        </w:rPr>
        <w:t>CAV/CAC Compliance of Last Visit</w:t>
      </w:r>
    </w:p>
    <w:p w:rsidR="00975794" w:rsidRPr="007A403E" w:rsidRDefault="00975794" w:rsidP="006900E8">
      <w:pPr>
        <w:pStyle w:val="ListParagraph"/>
        <w:numPr>
          <w:ilvl w:val="0"/>
          <w:numId w:val="15"/>
        </w:numPr>
        <w:rPr>
          <w:color w:val="000000" w:themeColor="text1"/>
        </w:rPr>
      </w:pPr>
      <w:r w:rsidRPr="007A403E">
        <w:rPr>
          <w:color w:val="000000" w:themeColor="text1"/>
        </w:rPr>
        <w:t xml:space="preserve">Active or Mapping Studies </w:t>
      </w:r>
    </w:p>
    <w:p w:rsidR="00EE4981" w:rsidRPr="007A403E" w:rsidRDefault="00EE4981" w:rsidP="006900E8">
      <w:pPr>
        <w:pStyle w:val="ListParagraph"/>
        <w:numPr>
          <w:ilvl w:val="0"/>
          <w:numId w:val="15"/>
        </w:numPr>
        <w:rPr>
          <w:color w:val="000000" w:themeColor="text1"/>
        </w:rPr>
      </w:pPr>
      <w:r w:rsidRPr="007A403E">
        <w:rPr>
          <w:rFonts w:cstheme="minorHAnsi"/>
          <w:color w:val="000000" w:themeColor="text1"/>
        </w:rPr>
        <w:t>Risk Communications</w:t>
      </w:r>
    </w:p>
    <w:p w:rsidR="007A403E" w:rsidRDefault="004A415C" w:rsidP="007A403E">
      <w:pPr>
        <w:pStyle w:val="Heading1"/>
      </w:pPr>
      <w:r>
        <w:br/>
      </w:r>
      <w:bookmarkStart w:id="16" w:name="_Toc34388229"/>
      <w:r w:rsidR="009D0A6C">
        <w:t xml:space="preserve">Community Engagement &amp; </w:t>
      </w:r>
      <w:r w:rsidR="007A403E">
        <w:t>Field Verification</w:t>
      </w:r>
      <w:bookmarkEnd w:id="16"/>
      <w:r w:rsidR="007A403E">
        <w:t xml:space="preserve"> </w:t>
      </w:r>
    </w:p>
    <w:p w:rsidR="009D0A6C" w:rsidRPr="00654E9C" w:rsidRDefault="009D0A6C" w:rsidP="007A403E">
      <w:r w:rsidRPr="00654E9C">
        <w:t>Field verification and outreach are an important component of the flood risk assessments in support of local hazard mitigation plan</w:t>
      </w:r>
      <w:r w:rsidR="00AF59BD" w:rsidRPr="00654E9C">
        <w:t>s</w:t>
      </w:r>
      <w:r w:rsidRPr="00654E9C">
        <w:t>.</w:t>
      </w:r>
      <w:r w:rsidR="004A415C" w:rsidRPr="00654E9C">
        <w:t xml:space="preserve">  Local officials, planners, emergency managers, or floodplain managers are the primary target audience for community engagement.</w:t>
      </w:r>
      <w:r w:rsidRPr="00654E9C">
        <w:t xml:space="preserve">  The Flood Risk Products (Report, Map, Tables, Database) will be provided </w:t>
      </w:r>
      <w:r w:rsidR="00AF59BD" w:rsidRPr="00654E9C">
        <w:t xml:space="preserve">to </w:t>
      </w:r>
      <w:r w:rsidRPr="00654E9C">
        <w:t>each community to verify the risk assessment findings and identify potential mitigation actions.</w:t>
      </w:r>
      <w:r w:rsidR="00AF59BD" w:rsidRPr="00654E9C">
        <w:t xml:space="preserve">  Reports will also be provided to the Regional Planning and Development Councils which are responsible for coordinating local hazard mitigation plans.</w:t>
      </w:r>
      <w:r w:rsidRPr="00654E9C">
        <w:t xml:space="preserve">  The Flood Risk Report will provide links to FEMA and State Resource Guides that may include:</w:t>
      </w:r>
    </w:p>
    <w:p w:rsidR="009D0A6C" w:rsidRPr="00654E9C" w:rsidRDefault="009D0A6C" w:rsidP="009D0A6C">
      <w:pPr>
        <w:pStyle w:val="ListParagraph"/>
        <w:numPr>
          <w:ilvl w:val="0"/>
          <w:numId w:val="16"/>
        </w:numPr>
        <w:rPr>
          <w:i/>
        </w:rPr>
      </w:pPr>
      <w:r w:rsidRPr="00654E9C">
        <w:rPr>
          <w:i/>
        </w:rPr>
        <w:t xml:space="preserve">Reducing Damage from Localized Flooding: A Guide for Communities    </w:t>
      </w:r>
    </w:p>
    <w:p w:rsidR="009D0A6C" w:rsidRPr="00654E9C" w:rsidRDefault="009D0A6C" w:rsidP="009D0A6C">
      <w:pPr>
        <w:pStyle w:val="ListParagraph"/>
        <w:numPr>
          <w:ilvl w:val="0"/>
          <w:numId w:val="16"/>
        </w:numPr>
        <w:rPr>
          <w:i/>
        </w:rPr>
      </w:pPr>
      <w:r w:rsidRPr="00654E9C">
        <w:rPr>
          <w:i/>
        </w:rPr>
        <w:t>Community Rating System Coordinators Manual</w:t>
      </w:r>
    </w:p>
    <w:p w:rsidR="009D0A6C" w:rsidRPr="00654E9C" w:rsidRDefault="009D0A6C" w:rsidP="009D0A6C">
      <w:pPr>
        <w:pStyle w:val="ListParagraph"/>
        <w:numPr>
          <w:ilvl w:val="0"/>
          <w:numId w:val="16"/>
        </w:numPr>
        <w:rPr>
          <w:i/>
        </w:rPr>
      </w:pPr>
      <w:r w:rsidRPr="00654E9C">
        <w:rPr>
          <w:i/>
        </w:rPr>
        <w:t>WV Floodplain Management Quick Guide</w:t>
      </w:r>
    </w:p>
    <w:p w:rsidR="007A403E" w:rsidRPr="00654E9C" w:rsidRDefault="00654E9C" w:rsidP="00654E9C">
      <w:pPr>
        <w:autoSpaceDE w:val="0"/>
        <w:autoSpaceDN w:val="0"/>
        <w:adjustRightInd w:val="0"/>
      </w:pPr>
      <w:r>
        <w:rPr>
          <w:rFonts w:cstheme="minorHAnsi"/>
        </w:rPr>
        <w:br/>
      </w:r>
      <w:r w:rsidRPr="00654E9C">
        <w:rPr>
          <w:rFonts w:cstheme="minorHAnsi"/>
        </w:rPr>
        <w:t>Communities will be provided with a form or survey to provide feedback on the Flood Risk Report, Maps, and Tables</w:t>
      </w:r>
      <w:r>
        <w:rPr>
          <w:rFonts w:cstheme="minorHAnsi"/>
        </w:rPr>
        <w:t xml:space="preserve">.  </w:t>
      </w:r>
      <w:r w:rsidR="009D0A6C" w:rsidRPr="00654E9C">
        <w:t>Important variables</w:t>
      </w:r>
      <w:r w:rsidRPr="00654E9C">
        <w:t xml:space="preserve"> for the communities </w:t>
      </w:r>
      <w:r w:rsidR="009D0A6C" w:rsidRPr="00654E9C">
        <w:t>to validate include structure type (e.g., primary, accessory, seasonal, dilapidated) and the foundation type</w:t>
      </w:r>
      <w:r w:rsidR="004A415C" w:rsidRPr="00654E9C">
        <w:t xml:space="preserve"> / </w:t>
      </w:r>
      <w:r w:rsidR="009D0A6C" w:rsidRPr="00654E9C">
        <w:t>first floor height of elevated structures.</w:t>
      </w:r>
      <w:r w:rsidRPr="00654E9C">
        <w:t xml:space="preserve">  It would be beneficial if communities can provide Finished Construction Elevation Certificates, especially of elevated structures</w:t>
      </w:r>
      <w:r>
        <w:t>, to verify the first-floor heights, lowest floor elevation, and water depth-in-structure</w:t>
      </w:r>
      <w:r w:rsidRPr="00654E9C">
        <w:t>.</w:t>
      </w:r>
      <w:r>
        <w:t xml:space="preserve">  </w:t>
      </w:r>
      <w:r w:rsidR="004A415C" w:rsidRPr="00654E9C">
        <w:t>The Building Inventory follow</w:t>
      </w:r>
      <w:r>
        <w:t>s</w:t>
      </w:r>
      <w:r w:rsidR="004A415C" w:rsidRPr="00654E9C">
        <w:t xml:space="preserve"> a cyclic workflow in that new structure-level flood risk assessments can be generated fairly quickly from edits to the building stock or flood depth grids, and then published to the RiskMAP View of the WV Flood Tool.  Communities do not need mapping software since</w:t>
      </w:r>
      <w:r w:rsidR="0017073B">
        <w:t xml:space="preserve"> the</w:t>
      </w:r>
      <w:r w:rsidR="004A415C" w:rsidRPr="00654E9C">
        <w:t xml:space="preserve"> Building-Level Flood-Risk Assessments </w:t>
      </w:r>
      <w:r w:rsidR="004A415C" w:rsidRPr="00654E9C">
        <w:lastRenderedPageBreak/>
        <w:t>can be viewed in a Spreadsheet Table with web links to</w:t>
      </w:r>
      <w:r w:rsidR="0017073B">
        <w:t xml:space="preserve"> the</w:t>
      </w:r>
      <w:r w:rsidR="004A415C" w:rsidRPr="00654E9C">
        <w:t xml:space="preserve"> WV Flood Tool</w:t>
      </w:r>
      <w:r w:rsidR="00AF59BD" w:rsidRPr="00654E9C">
        <w:t>.</w:t>
      </w:r>
      <w:r>
        <w:t xml:space="preserve">  Areas of Mitigat</w:t>
      </w:r>
      <w:r w:rsidR="00CB35BE">
        <w:t>ion</w:t>
      </w:r>
      <w:r>
        <w:t xml:space="preserve"> Interest should be identified by the communities and submitted to the State</w:t>
      </w:r>
      <w:r w:rsidR="00CB35BE">
        <w:t xml:space="preserve"> via the form or survey.  T</w:t>
      </w:r>
      <w:r w:rsidR="00CB35BE" w:rsidRPr="00CB35BE">
        <w:t>he Areas of Mitigation Interest (</w:t>
      </w:r>
      <w:proofErr w:type="spellStart"/>
      <w:r w:rsidR="00CB35BE" w:rsidRPr="00CB35BE">
        <w:t>AoMI</w:t>
      </w:r>
      <w:proofErr w:type="spellEnd"/>
      <w:r w:rsidR="00CB35BE" w:rsidRPr="00CB35BE">
        <w:t xml:space="preserve">) dataset </w:t>
      </w:r>
      <w:r w:rsidR="00CB35BE">
        <w:t>should</w:t>
      </w:r>
      <w:r w:rsidR="00CB35BE" w:rsidRPr="00CB35BE">
        <w:t xml:space="preserve"> capture the mitigation interests of the community and provide targets for future mitigation action.</w:t>
      </w:r>
    </w:p>
    <w:p w:rsidR="00654E9C" w:rsidRPr="007A403E" w:rsidRDefault="00654E9C" w:rsidP="007A403E"/>
    <w:p w:rsidR="007C321B" w:rsidRDefault="002A2865" w:rsidP="002A2865">
      <w:pPr>
        <w:pStyle w:val="Heading1"/>
      </w:pPr>
      <w:bookmarkStart w:id="17" w:name="_Toc34388230"/>
      <w:r>
        <w:t>References</w:t>
      </w:r>
      <w:bookmarkEnd w:id="17"/>
      <w:r w:rsidR="007C321B">
        <w:t xml:space="preserve"> </w:t>
      </w:r>
    </w:p>
    <w:p w:rsidR="007C321B" w:rsidRDefault="007C321B" w:rsidP="007C321B">
      <w:pPr>
        <w:autoSpaceDE w:val="0"/>
        <w:autoSpaceDN w:val="0"/>
        <w:adjustRightInd w:val="0"/>
        <w:rPr>
          <w:rFonts w:ascii="ITCFranklinGothicStd-BkCd" w:hAnsi="ITCFranklinGothicStd-BkCd" w:cs="ITCFranklinGothicStd-BkCd"/>
          <w:b/>
          <w:bCs/>
          <w:color w:val="363636"/>
        </w:rPr>
      </w:pPr>
    </w:p>
    <w:p w:rsidR="0084432D" w:rsidRPr="005234DC" w:rsidRDefault="0084432D" w:rsidP="0084432D">
      <w:pPr>
        <w:rPr>
          <w:rFonts w:ascii="Calibri" w:eastAsia="Times New Roman" w:hAnsi="Calibri" w:cs="Calibri"/>
          <w:szCs w:val="20"/>
        </w:rPr>
      </w:pPr>
      <w:r w:rsidRPr="005234DC">
        <w:rPr>
          <w:rFonts w:ascii="Calibri" w:eastAsia="Times New Roman" w:hAnsi="Calibri" w:cs="Calibri"/>
          <w:szCs w:val="20"/>
        </w:rPr>
        <w:t xml:space="preserve">Open-File Report O-18-04, </w:t>
      </w:r>
      <w:r w:rsidRPr="005234DC">
        <w:rPr>
          <w:rFonts w:ascii="Calibri" w:eastAsia="Times New Roman" w:hAnsi="Calibri" w:cs="Calibri"/>
          <w:b/>
          <w:szCs w:val="20"/>
        </w:rPr>
        <w:t>ArcGIS Python script alternative to the Hazus-MH Flood Model for User-Defined Facilities</w:t>
      </w:r>
      <w:r w:rsidRPr="005234DC">
        <w:rPr>
          <w:rFonts w:ascii="Calibri" w:eastAsia="Times New Roman" w:hAnsi="Calibri" w:cs="Calibri"/>
          <w:szCs w:val="20"/>
        </w:rPr>
        <w:t xml:space="preserve"> by John M. Bauer; ArcGIS® Python® script, library, 28 p. user guide, </w:t>
      </w:r>
      <w:hyperlink r:id="rId17" w:history="1">
        <w:r w:rsidRPr="005234DC">
          <w:rPr>
            <w:rStyle w:val="Hyperlink"/>
            <w:rFonts w:ascii="Calibri" w:eastAsia="Times New Roman" w:hAnsi="Calibri" w:cs="Calibri"/>
            <w:color w:val="auto"/>
            <w:szCs w:val="20"/>
          </w:rPr>
          <w:t>https://www.oregongeology.org/pubs/ofr/p-O-18-04.htm</w:t>
        </w:r>
      </w:hyperlink>
    </w:p>
    <w:p w:rsidR="0084432D" w:rsidRPr="005234DC" w:rsidRDefault="0084432D" w:rsidP="0084432D">
      <w:pPr>
        <w:rPr>
          <w:rFonts w:ascii="Calibri" w:eastAsia="Times New Roman" w:hAnsi="Calibri" w:cs="Calibri"/>
          <w:szCs w:val="20"/>
        </w:rPr>
      </w:pPr>
    </w:p>
    <w:p w:rsidR="005234DC" w:rsidRPr="005234DC" w:rsidRDefault="005234DC" w:rsidP="0084432D">
      <w:r w:rsidRPr="005234DC">
        <w:rPr>
          <w:rFonts w:ascii="Calibri" w:eastAsia="Times New Roman" w:hAnsi="Calibri" w:cs="Calibri"/>
          <w:szCs w:val="20"/>
        </w:rPr>
        <w:t xml:space="preserve">FEMA's Natural Hazards Risk Assessment Program (NHRAP), </w:t>
      </w:r>
      <w:r w:rsidR="0084432D" w:rsidRPr="005234DC">
        <w:rPr>
          <w:rFonts w:ascii="Calibri" w:eastAsia="Times New Roman" w:hAnsi="Calibri" w:cs="Calibri"/>
          <w:b/>
          <w:szCs w:val="20"/>
        </w:rPr>
        <w:t>Hazus Flood Model FEMA Standard Operating Procedure for Hazus Flood Level 2 Analysis</w:t>
      </w:r>
      <w:r w:rsidR="0084432D" w:rsidRPr="005234DC">
        <w:rPr>
          <w:rFonts w:ascii="Calibri" w:eastAsia="Times New Roman" w:hAnsi="Calibri" w:cs="Calibri"/>
          <w:szCs w:val="20"/>
        </w:rPr>
        <w:t>, 2018</w:t>
      </w:r>
      <w:r w:rsidRPr="005234DC">
        <w:rPr>
          <w:rFonts w:ascii="Calibri" w:eastAsia="Times New Roman" w:hAnsi="Calibri" w:cs="Calibri"/>
          <w:szCs w:val="20"/>
        </w:rPr>
        <w:t>,</w:t>
      </w:r>
      <w:hyperlink r:id="rId18" w:history="1">
        <w:r w:rsidR="0084432D" w:rsidRPr="005234DC">
          <w:rPr>
            <w:rStyle w:val="Hyperlink"/>
            <w:color w:val="auto"/>
          </w:rPr>
          <w:t>https://www.fema.gov/media-library-data/1530821743439-e16c13c1f6266bbe374dc00a00ac9910/Hazus_Flood_Model_SOP_level2analysis.pdf</w:t>
        </w:r>
      </w:hyperlink>
    </w:p>
    <w:p w:rsidR="005234DC" w:rsidRPr="005234DC" w:rsidRDefault="005234DC" w:rsidP="0084432D"/>
    <w:p w:rsidR="007C321B" w:rsidRPr="002A2865" w:rsidRDefault="005234DC" w:rsidP="0084432D">
      <w:pPr>
        <w:rPr>
          <w:rFonts w:ascii="Calibri" w:eastAsia="Times New Roman" w:hAnsi="Calibri" w:cs="Calibri"/>
          <w:color w:val="000000"/>
          <w:szCs w:val="20"/>
        </w:rPr>
      </w:pPr>
      <w:r w:rsidRPr="005234DC">
        <w:rPr>
          <w:b/>
        </w:rPr>
        <w:t>FEMA’s Flood Assessment Structure Tool (FAST)</w:t>
      </w:r>
      <w:r w:rsidRPr="005234DC">
        <w:t xml:space="preserve">, </w:t>
      </w:r>
      <w:hyperlink r:id="rId19" w:history="1">
        <w:r w:rsidRPr="005234DC">
          <w:rPr>
            <w:rStyle w:val="Hyperlink"/>
            <w:color w:val="auto"/>
          </w:rPr>
          <w:t>https://github.com/nhrap-hazus/FAST</w:t>
        </w:r>
      </w:hyperlink>
      <w:r w:rsidRPr="005234DC">
        <w:t xml:space="preserve">, </w:t>
      </w:r>
      <w:r w:rsidRPr="005234DC">
        <w:rPr>
          <w:rFonts w:ascii="Calibri" w:eastAsia="Times New Roman" w:hAnsi="Calibri" w:cs="Calibri"/>
          <w:szCs w:val="20"/>
        </w:rPr>
        <w:t xml:space="preserve"> Hazus User Release Notes Fact Sheet, </w:t>
      </w:r>
      <w:hyperlink r:id="rId20" w:history="1">
        <w:r w:rsidRPr="005234DC">
          <w:rPr>
            <w:rStyle w:val="Hyperlink"/>
            <w:color w:val="auto"/>
          </w:rPr>
          <w:t>https://www.fema.gov/media-library-data/1579211964765-77a8d16172c28267e657b2ad02eb8656/FAST_Factsheet.pdf</w:t>
        </w:r>
      </w:hyperlink>
      <w:r w:rsidRPr="005234DC">
        <w:rPr>
          <w:rFonts w:ascii="Calibri" w:eastAsia="Times New Roman" w:hAnsi="Calibri" w:cs="Calibri"/>
          <w:szCs w:val="20"/>
        </w:rPr>
        <w:t xml:space="preserve"> </w:t>
      </w:r>
      <w:r w:rsidR="007C321B" w:rsidRPr="002A2865">
        <w:rPr>
          <w:rFonts w:ascii="Calibri" w:eastAsia="Times New Roman" w:hAnsi="Calibri" w:cs="Calibri"/>
          <w:color w:val="000000"/>
          <w:szCs w:val="20"/>
        </w:rPr>
        <w:br w:type="page"/>
      </w:r>
    </w:p>
    <w:p w:rsidR="007C321B" w:rsidRDefault="00B40DAC" w:rsidP="00B40DAC">
      <w:pPr>
        <w:pStyle w:val="Heading1"/>
      </w:pPr>
      <w:bookmarkStart w:id="18" w:name="_Toc34388231"/>
      <w:r>
        <w:lastRenderedPageBreak/>
        <w:t>A</w:t>
      </w:r>
      <w:r w:rsidR="00197B00">
        <w:t>ppendix A</w:t>
      </w:r>
      <w:r>
        <w:t>:  Tables and Figures</w:t>
      </w:r>
      <w:bookmarkEnd w:id="18"/>
    </w:p>
    <w:p w:rsidR="007C321B" w:rsidRDefault="00B40DAC" w:rsidP="007C321B">
      <w:pPr>
        <w:pStyle w:val="TableFigure"/>
        <w:spacing w:after="0"/>
      </w:pPr>
      <w:bookmarkStart w:id="19" w:name="_Toc34317955"/>
      <w:r>
        <w:br/>
      </w:r>
      <w:bookmarkStart w:id="20" w:name="_Toc34388233"/>
      <w:r w:rsidR="007C321B" w:rsidRPr="0020384A">
        <w:t xml:space="preserve">Table </w:t>
      </w:r>
      <w:r w:rsidR="007C321B">
        <w:t>1</w:t>
      </w:r>
      <w:r w:rsidR="007C321B" w:rsidRPr="0020384A">
        <w:t>.</w:t>
      </w:r>
      <w:r w:rsidR="007C321B">
        <w:t xml:space="preserve">  Flood Risk Products</w:t>
      </w:r>
      <w:bookmarkEnd w:id="19"/>
      <w:bookmarkEnd w:id="20"/>
    </w:p>
    <w:tbl>
      <w:tblPr>
        <w:tblStyle w:val="TableGrid"/>
        <w:tblW w:w="9355" w:type="dxa"/>
        <w:tblLook w:val="04A0" w:firstRow="1" w:lastRow="0" w:firstColumn="1" w:lastColumn="0" w:noHBand="0" w:noVBand="1"/>
      </w:tblPr>
      <w:tblGrid>
        <w:gridCol w:w="2425"/>
        <w:gridCol w:w="6930"/>
      </w:tblGrid>
      <w:tr w:rsidR="007C321B" w:rsidTr="007C321B">
        <w:trPr>
          <w:tblHeader/>
        </w:trPr>
        <w:tc>
          <w:tcPr>
            <w:tcW w:w="2425" w:type="dxa"/>
            <w:shd w:val="clear" w:color="auto" w:fill="F9F7F0" w:themeFill="accent4" w:themeFillTint="33"/>
          </w:tcPr>
          <w:p w:rsidR="007C321B" w:rsidRPr="00B03C8B" w:rsidRDefault="007C321B" w:rsidP="007C321B">
            <w:pPr>
              <w:autoSpaceDE w:val="0"/>
              <w:autoSpaceDN w:val="0"/>
              <w:adjustRightInd w:val="0"/>
              <w:jc w:val="center"/>
              <w:rPr>
                <w:rFonts w:cstheme="minorHAnsi"/>
                <w:b/>
                <w:bCs/>
                <w:sz w:val="20"/>
                <w:szCs w:val="20"/>
              </w:rPr>
            </w:pPr>
            <w:r w:rsidRPr="00B03C8B">
              <w:rPr>
                <w:rFonts w:cstheme="minorHAnsi"/>
                <w:b/>
                <w:bCs/>
                <w:sz w:val="20"/>
                <w:szCs w:val="20"/>
              </w:rPr>
              <w:t>FLOOD RISK PRODUCT</w:t>
            </w:r>
          </w:p>
        </w:tc>
        <w:tc>
          <w:tcPr>
            <w:tcW w:w="6930" w:type="dxa"/>
            <w:shd w:val="clear" w:color="auto" w:fill="F9F7F0" w:themeFill="accent4" w:themeFillTint="33"/>
          </w:tcPr>
          <w:p w:rsidR="007C321B" w:rsidRPr="00B03C8B" w:rsidRDefault="007C321B" w:rsidP="007C321B">
            <w:pPr>
              <w:autoSpaceDE w:val="0"/>
              <w:autoSpaceDN w:val="0"/>
              <w:adjustRightInd w:val="0"/>
              <w:jc w:val="center"/>
              <w:rPr>
                <w:rFonts w:cstheme="minorHAnsi"/>
                <w:b/>
                <w:bCs/>
                <w:sz w:val="20"/>
                <w:szCs w:val="20"/>
              </w:rPr>
            </w:pPr>
            <w:r w:rsidRPr="00B03C8B">
              <w:rPr>
                <w:rFonts w:cstheme="minorHAnsi"/>
                <w:b/>
                <w:bCs/>
                <w:sz w:val="20"/>
                <w:szCs w:val="20"/>
              </w:rPr>
              <w:t>DESCRIPTION</w:t>
            </w:r>
          </w:p>
        </w:tc>
      </w:tr>
      <w:tr w:rsidR="007C321B" w:rsidTr="007C321B">
        <w:tc>
          <w:tcPr>
            <w:tcW w:w="2425" w:type="dxa"/>
          </w:tcPr>
          <w:p w:rsidR="007C321B" w:rsidRPr="00B03C8B" w:rsidRDefault="007C321B" w:rsidP="007A403E">
            <w:pPr>
              <w:autoSpaceDE w:val="0"/>
              <w:autoSpaceDN w:val="0"/>
              <w:adjustRightInd w:val="0"/>
              <w:rPr>
                <w:rFonts w:cstheme="minorHAnsi"/>
                <w:sz w:val="20"/>
                <w:szCs w:val="20"/>
              </w:rPr>
            </w:pPr>
            <w:r w:rsidRPr="00B03C8B">
              <w:rPr>
                <w:rFonts w:cstheme="minorHAnsi"/>
                <w:sz w:val="20"/>
                <w:szCs w:val="20"/>
              </w:rPr>
              <w:t>Flood Risk Report</w:t>
            </w:r>
          </w:p>
        </w:tc>
        <w:tc>
          <w:tcPr>
            <w:tcW w:w="6930" w:type="dxa"/>
          </w:tcPr>
          <w:p w:rsidR="007C321B" w:rsidRPr="00B03C8B" w:rsidRDefault="007C321B" w:rsidP="007A403E">
            <w:pPr>
              <w:autoSpaceDE w:val="0"/>
              <w:autoSpaceDN w:val="0"/>
              <w:adjustRightInd w:val="0"/>
              <w:rPr>
                <w:rFonts w:cstheme="minorHAnsi"/>
                <w:sz w:val="20"/>
                <w:szCs w:val="20"/>
              </w:rPr>
            </w:pPr>
            <w:r w:rsidRPr="00B03C8B">
              <w:rPr>
                <w:rFonts w:cstheme="minorHAnsi"/>
                <w:sz w:val="20"/>
                <w:szCs w:val="20"/>
              </w:rPr>
              <w:t>A narrative or a community’s flood risk assessment study to support the floodplain management and flood reduction activities.</w:t>
            </w:r>
            <w:r w:rsidR="007A403E">
              <w:rPr>
                <w:rFonts w:cstheme="minorHAnsi"/>
                <w:sz w:val="20"/>
                <w:szCs w:val="20"/>
              </w:rPr>
              <w:t xml:space="preserve">  A Flood Risk Report is published for each county to supplement it Local Hazard Mitigation Plan.</w:t>
            </w:r>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Flood Risk Map</w:t>
            </w:r>
          </w:p>
          <w:p w:rsidR="007C321B" w:rsidRPr="00B03C8B" w:rsidRDefault="007C321B" w:rsidP="007C321B">
            <w:pPr>
              <w:autoSpaceDE w:val="0"/>
              <w:autoSpaceDN w:val="0"/>
              <w:adjustRightInd w:val="0"/>
              <w:rPr>
                <w:rFonts w:cstheme="minorHAnsi"/>
                <w:sz w:val="20"/>
                <w:szCs w:val="20"/>
              </w:rPr>
            </w:pPr>
          </w:p>
          <w:p w:rsidR="007C321B" w:rsidRPr="00B03C8B" w:rsidRDefault="007C321B" w:rsidP="007C321B">
            <w:pPr>
              <w:autoSpaceDE w:val="0"/>
              <w:autoSpaceDN w:val="0"/>
              <w:adjustRightInd w:val="0"/>
              <w:rPr>
                <w:rFonts w:cstheme="minorHAnsi"/>
                <w:sz w:val="20"/>
                <w:szCs w:val="20"/>
              </w:rPr>
            </w:pP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A map that illustrates the overall flood risk for a community.  The map can be used as an outreach tool to communicate risk more clearly and to support mitigation planning.   The Flood Risk Map is viewable as an interactive map on the WV Flood Tool or as a PDF print-ready static map.</w:t>
            </w:r>
          </w:p>
        </w:tc>
      </w:tr>
      <w:tr w:rsidR="007A403E" w:rsidTr="007C321B">
        <w:tc>
          <w:tcPr>
            <w:tcW w:w="2425" w:type="dxa"/>
          </w:tcPr>
          <w:p w:rsidR="007A403E" w:rsidRPr="00B03C8B" w:rsidRDefault="007A403E" w:rsidP="007C321B">
            <w:pPr>
              <w:autoSpaceDE w:val="0"/>
              <w:autoSpaceDN w:val="0"/>
              <w:adjustRightInd w:val="0"/>
              <w:rPr>
                <w:rFonts w:cstheme="minorHAnsi"/>
                <w:sz w:val="20"/>
                <w:szCs w:val="20"/>
              </w:rPr>
            </w:pPr>
            <w:r>
              <w:rPr>
                <w:rFonts w:cstheme="minorHAnsi"/>
                <w:sz w:val="20"/>
                <w:szCs w:val="20"/>
              </w:rPr>
              <w:t>Flood Risk Tables</w:t>
            </w:r>
          </w:p>
        </w:tc>
        <w:tc>
          <w:tcPr>
            <w:tcW w:w="6930" w:type="dxa"/>
          </w:tcPr>
          <w:p w:rsidR="007A403E" w:rsidRPr="00B03C8B" w:rsidRDefault="007A403E" w:rsidP="007C321B">
            <w:pPr>
              <w:autoSpaceDE w:val="0"/>
              <w:autoSpaceDN w:val="0"/>
              <w:adjustRightInd w:val="0"/>
              <w:rPr>
                <w:rFonts w:cstheme="minorHAnsi"/>
                <w:sz w:val="20"/>
                <w:szCs w:val="20"/>
              </w:rPr>
            </w:pPr>
            <w:r>
              <w:rPr>
                <w:rFonts w:cstheme="minorHAnsi"/>
                <w:sz w:val="20"/>
                <w:szCs w:val="20"/>
              </w:rPr>
              <w:t>Excel tables that list per structure the primary building exposure and flood risk assessment attributes for communities to verify.  Specific tables for Essential Facilities, Buyout Properties, etc. are also provided to communities for verification.  These tables can be used by communities to enhance floodplain management and risk reduction efforts.</w:t>
            </w:r>
            <w:r w:rsidR="004A415C">
              <w:rPr>
                <w:rFonts w:cstheme="minorHAnsi"/>
                <w:sz w:val="20"/>
                <w:szCs w:val="20"/>
              </w:rPr>
              <w:t xml:space="preserve">  Share links are included in tables to link records to RiskMAP View of WV Flood Tool.</w:t>
            </w:r>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Flood Risk Database </w:t>
            </w:r>
          </w:p>
          <w:p w:rsidR="007C321B" w:rsidRPr="00B03C8B" w:rsidRDefault="007C321B" w:rsidP="007C321B">
            <w:pPr>
              <w:autoSpaceDE w:val="0"/>
              <w:autoSpaceDN w:val="0"/>
              <w:adjustRightInd w:val="0"/>
              <w:rPr>
                <w:rFonts w:cstheme="minorHAnsi"/>
                <w:sz w:val="20"/>
                <w:szCs w:val="20"/>
              </w:rPr>
            </w:pPr>
          </w:p>
          <w:p w:rsidR="007C321B" w:rsidRPr="00B03C8B" w:rsidRDefault="007C321B" w:rsidP="007C321B">
            <w:pPr>
              <w:autoSpaceDE w:val="0"/>
              <w:autoSpaceDN w:val="0"/>
              <w:adjustRightInd w:val="0"/>
              <w:rPr>
                <w:rFonts w:cstheme="minorHAnsi"/>
                <w:sz w:val="20"/>
                <w:szCs w:val="20"/>
              </w:rPr>
            </w:pP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Provides communities with geospatial information collected during the risk assessment process and offers effective ways to visualize and communicate flood risk.  The Flood Risk Assessment GIS (FRAGIS) is the name for West Virginia’s flood risk geodatabase.  </w:t>
            </w:r>
          </w:p>
        </w:tc>
      </w:tr>
      <w:tr w:rsidR="00595C50" w:rsidTr="00595C50">
        <w:trPr>
          <w:trHeight w:val="845"/>
        </w:trPr>
        <w:tc>
          <w:tcPr>
            <w:tcW w:w="2425" w:type="dxa"/>
          </w:tcPr>
          <w:p w:rsidR="00595C50" w:rsidRPr="00B03C8B" w:rsidRDefault="00595C50" w:rsidP="00654E9C">
            <w:pPr>
              <w:autoSpaceDE w:val="0"/>
              <w:autoSpaceDN w:val="0"/>
              <w:adjustRightInd w:val="0"/>
              <w:rPr>
                <w:rFonts w:cstheme="minorHAnsi"/>
                <w:sz w:val="20"/>
                <w:szCs w:val="20"/>
              </w:rPr>
            </w:pPr>
            <w:r>
              <w:rPr>
                <w:rFonts w:cstheme="minorHAnsi"/>
                <w:sz w:val="20"/>
                <w:szCs w:val="20"/>
              </w:rPr>
              <w:t>Flood Risk Community Engagement Form or Survey</w:t>
            </w:r>
          </w:p>
        </w:tc>
        <w:tc>
          <w:tcPr>
            <w:tcW w:w="6930" w:type="dxa"/>
          </w:tcPr>
          <w:p w:rsidR="00595C50" w:rsidRPr="00B03C8B" w:rsidRDefault="00595C50" w:rsidP="00CB35BE">
            <w:pPr>
              <w:autoSpaceDE w:val="0"/>
              <w:autoSpaceDN w:val="0"/>
              <w:adjustRightInd w:val="0"/>
              <w:rPr>
                <w:rFonts w:cstheme="minorHAnsi"/>
                <w:sz w:val="20"/>
                <w:szCs w:val="20"/>
              </w:rPr>
            </w:pPr>
            <w:r>
              <w:rPr>
                <w:rFonts w:cstheme="minorHAnsi"/>
                <w:sz w:val="20"/>
                <w:szCs w:val="20"/>
              </w:rPr>
              <w:t xml:space="preserve">Communities </w:t>
            </w:r>
            <w:r w:rsidR="00683BCC">
              <w:rPr>
                <w:rFonts w:cstheme="minorHAnsi"/>
                <w:sz w:val="20"/>
                <w:szCs w:val="20"/>
              </w:rPr>
              <w:t>are</w:t>
            </w:r>
            <w:r w:rsidR="00654E9C">
              <w:rPr>
                <w:rFonts w:cstheme="minorHAnsi"/>
                <w:sz w:val="20"/>
                <w:szCs w:val="20"/>
              </w:rPr>
              <w:t xml:space="preserve"> provided with instructions</w:t>
            </w:r>
            <w:r w:rsidR="00683BCC">
              <w:rPr>
                <w:rFonts w:cstheme="minorHAnsi"/>
                <w:sz w:val="20"/>
                <w:szCs w:val="20"/>
              </w:rPr>
              <w:t xml:space="preserve"> on how</w:t>
            </w:r>
            <w:r w:rsidR="00654E9C">
              <w:rPr>
                <w:rFonts w:cstheme="minorHAnsi"/>
                <w:sz w:val="20"/>
                <w:szCs w:val="20"/>
              </w:rPr>
              <w:t xml:space="preserve"> to</w:t>
            </w:r>
            <w:r w:rsidR="007C5743">
              <w:rPr>
                <w:rFonts w:cstheme="minorHAnsi"/>
                <w:sz w:val="20"/>
                <w:szCs w:val="20"/>
              </w:rPr>
              <w:t xml:space="preserve"> validate and</w:t>
            </w:r>
            <w:r w:rsidR="00654E9C">
              <w:rPr>
                <w:rFonts w:cstheme="minorHAnsi"/>
                <w:sz w:val="20"/>
                <w:szCs w:val="20"/>
              </w:rPr>
              <w:t xml:space="preserve"> provide feedback on Flood Risk Report, Maps, or Tables.</w:t>
            </w:r>
            <w:r w:rsidR="007C5743">
              <w:rPr>
                <w:rFonts w:cstheme="minorHAnsi"/>
                <w:sz w:val="20"/>
                <w:szCs w:val="20"/>
              </w:rPr>
              <w:t xml:space="preserve">  Communities </w:t>
            </w:r>
            <w:r w:rsidR="001C3D1C">
              <w:rPr>
                <w:rFonts w:cstheme="minorHAnsi"/>
                <w:sz w:val="20"/>
                <w:szCs w:val="20"/>
              </w:rPr>
              <w:t>are encouraged to</w:t>
            </w:r>
            <w:r w:rsidR="007C5743">
              <w:rPr>
                <w:rFonts w:cstheme="minorHAnsi"/>
                <w:sz w:val="20"/>
                <w:szCs w:val="20"/>
              </w:rPr>
              <w:t xml:space="preserve"> id</w:t>
            </w:r>
            <w:r w:rsidR="00654E9C">
              <w:rPr>
                <w:rFonts w:cstheme="minorHAnsi"/>
                <w:sz w:val="20"/>
                <w:szCs w:val="20"/>
              </w:rPr>
              <w:t>entify Areas of Mitigation Interest</w:t>
            </w:r>
            <w:r w:rsidR="007C5743">
              <w:rPr>
                <w:rFonts w:cstheme="minorHAnsi"/>
                <w:sz w:val="20"/>
                <w:szCs w:val="20"/>
              </w:rPr>
              <w:t xml:space="preserve"> (</w:t>
            </w:r>
            <w:proofErr w:type="spellStart"/>
            <w:r w:rsidR="007C5743">
              <w:rPr>
                <w:rFonts w:cstheme="minorHAnsi"/>
                <w:sz w:val="20"/>
                <w:szCs w:val="20"/>
              </w:rPr>
              <w:t>AoMIs</w:t>
            </w:r>
            <w:proofErr w:type="spellEnd"/>
            <w:r w:rsidR="007C5743">
              <w:rPr>
                <w:rFonts w:cstheme="minorHAnsi"/>
                <w:sz w:val="20"/>
                <w:szCs w:val="20"/>
              </w:rPr>
              <w:t>)</w:t>
            </w:r>
            <w:r w:rsidR="00CB35BE">
              <w:rPr>
                <w:rFonts w:cstheme="minorHAnsi"/>
                <w:sz w:val="20"/>
                <w:szCs w:val="20"/>
              </w:rPr>
              <w:t xml:space="preserve"> for the State</w:t>
            </w:r>
            <w:r w:rsidR="007C5743">
              <w:rPr>
                <w:rFonts w:cstheme="minorHAnsi"/>
                <w:sz w:val="20"/>
                <w:szCs w:val="20"/>
              </w:rPr>
              <w:t xml:space="preserve"> and FEMA</w:t>
            </w:r>
            <w:r w:rsidR="00CB35BE">
              <w:rPr>
                <w:rFonts w:cstheme="minorHAnsi"/>
                <w:sz w:val="20"/>
                <w:szCs w:val="20"/>
              </w:rPr>
              <w:t xml:space="preserve"> to review</w:t>
            </w:r>
            <w:r w:rsidR="00654E9C">
              <w:rPr>
                <w:rFonts w:cstheme="minorHAnsi"/>
                <w:sz w:val="20"/>
                <w:szCs w:val="20"/>
              </w:rPr>
              <w:t>.</w:t>
            </w:r>
            <w:r w:rsidR="00CB35BE">
              <w:rPr>
                <w:rFonts w:cstheme="minorHAnsi"/>
                <w:sz w:val="20"/>
                <w:szCs w:val="20"/>
              </w:rPr>
              <w:t xml:space="preserve">  </w:t>
            </w:r>
            <w:r w:rsidR="00CB35BE" w:rsidRPr="00CB35BE">
              <w:rPr>
                <w:rFonts w:cstheme="minorHAnsi"/>
                <w:sz w:val="20"/>
                <w:szCs w:val="20"/>
              </w:rPr>
              <w:t>The Areas of Mitigation Interest (</w:t>
            </w:r>
            <w:proofErr w:type="spellStart"/>
            <w:r w:rsidR="00CB35BE" w:rsidRPr="00CB35BE">
              <w:rPr>
                <w:rFonts w:cstheme="minorHAnsi"/>
                <w:sz w:val="20"/>
                <w:szCs w:val="20"/>
              </w:rPr>
              <w:t>AoMI</w:t>
            </w:r>
            <w:proofErr w:type="spellEnd"/>
            <w:r w:rsidR="00CB35BE" w:rsidRPr="00CB35BE">
              <w:rPr>
                <w:rFonts w:cstheme="minorHAnsi"/>
                <w:sz w:val="20"/>
                <w:szCs w:val="20"/>
              </w:rPr>
              <w:t>) dataset should capture the mitigation interests of the community and provide targets for future mitigation action</w:t>
            </w:r>
            <w:r w:rsidR="007C5743">
              <w:rPr>
                <w:rFonts w:cstheme="minorHAnsi"/>
                <w:sz w:val="20"/>
                <w:szCs w:val="20"/>
              </w:rPr>
              <w:t>s</w:t>
            </w:r>
            <w:r w:rsidR="00CB35BE" w:rsidRPr="00CB35BE">
              <w:rPr>
                <w:rFonts w:cstheme="minorHAnsi"/>
                <w:sz w:val="20"/>
                <w:szCs w:val="20"/>
              </w:rPr>
              <w:t>.</w:t>
            </w:r>
            <w:r w:rsidR="00CB35BE">
              <w:rPr>
                <w:rFonts w:cstheme="minorHAnsi"/>
                <w:sz w:val="20"/>
                <w:szCs w:val="20"/>
              </w:rPr>
              <w:t xml:space="preserve">  </w:t>
            </w:r>
          </w:p>
        </w:tc>
      </w:tr>
      <w:tr w:rsidR="007C321B" w:rsidTr="007C321B">
        <w:trPr>
          <w:trHeight w:val="1943"/>
        </w:trPr>
        <w:tc>
          <w:tcPr>
            <w:tcW w:w="2425" w:type="dxa"/>
          </w:tcPr>
          <w:p w:rsidR="007C321B" w:rsidRPr="00B03C8B" w:rsidRDefault="007C321B" w:rsidP="007C321B">
            <w:pPr>
              <w:autoSpaceDE w:val="0"/>
              <w:autoSpaceDN w:val="0"/>
              <w:adjustRightInd w:val="0"/>
              <w:rPr>
                <w:rFonts w:cstheme="minorHAnsi"/>
                <w:sz w:val="20"/>
                <w:szCs w:val="20"/>
              </w:rPr>
            </w:pPr>
            <w:bookmarkStart w:id="21" w:name="_Hlk34084077"/>
            <w:r w:rsidRPr="00B03C8B">
              <w:rPr>
                <w:rFonts w:cstheme="minorHAnsi"/>
                <w:sz w:val="20"/>
                <w:szCs w:val="20"/>
              </w:rPr>
              <w:t>Flood Depth Grid</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Communicates information about the flood depth for a 1-percent (100-year) annual chance flood.  Flood Depth Grids illustrate the flood depth, in feet above the ground surface, to demonstrate the variability of flood depths in flood prone areas.  Officials can use depth grids to help individuals visualize the depth of flooding their home might experience; an easier concept than understanding a base flood elevation.  The depth grid, combined with an inventory of the built environment, is used by the Hazus Flood Model to determine flood loss potential, by applying the appropriate depth-damage curves.  Model-backed DEMs are preferred over Hazus-generated depth grids for the Flood Models.  In the WV Flood Tool, the Water Depth is displayed in the (1) Flood Results Query Panel, (2) Flood Risk Layers Menu, and (3) 3D Flood Visualization. </w:t>
            </w:r>
          </w:p>
        </w:tc>
      </w:tr>
      <w:bookmarkEnd w:id="21"/>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Water Surface Elevation Grid (Base Flood Elevation, Flood Height)</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Provides the base flood elevations for A Zones.  The Water Surface Elevation is an effective tool for evaluating risk when combined with the lowest floor or first-floor elevations for buildings.  Base flood heights are important for floodplain management and mitigation activities in determining flood elevations in relation to structure (building, bridges, etc.) elevations.  Remember that Flood heights measure elevations above sea level and correspond to a vertical elevation datum, </w:t>
            </w:r>
            <w:r w:rsidRPr="00B03C8B">
              <w:rPr>
                <w:rFonts w:cstheme="minorHAnsi"/>
                <w:sz w:val="20"/>
                <w:szCs w:val="20"/>
              </w:rPr>
              <w:lastRenderedPageBreak/>
              <w:t>whereas depth grids measure flooding above ground level.  Where new mapping has occurred with updated topographic data, Advisory Base Flood elevations (or Advisory Flood Heights) are available for select communities   The Water Surface Elevation is displayed in the Flood Results Query Panel of the WV Flood Tool.</w:t>
            </w:r>
          </w:p>
        </w:tc>
      </w:tr>
      <w:tr w:rsidR="007C321B" w:rsidTr="007C321B">
        <w:tc>
          <w:tcPr>
            <w:tcW w:w="2425" w:type="dxa"/>
          </w:tcPr>
          <w:p w:rsidR="007C321B" w:rsidRPr="00B03C8B" w:rsidRDefault="00BA0C79" w:rsidP="007C321B">
            <w:pPr>
              <w:autoSpaceDE w:val="0"/>
              <w:autoSpaceDN w:val="0"/>
              <w:adjustRightInd w:val="0"/>
              <w:rPr>
                <w:rFonts w:cstheme="minorHAnsi"/>
                <w:sz w:val="20"/>
                <w:szCs w:val="20"/>
              </w:rPr>
            </w:pPr>
            <w:r>
              <w:rPr>
                <w:rFonts w:cstheme="minorHAnsi"/>
                <w:sz w:val="20"/>
                <w:szCs w:val="20"/>
              </w:rPr>
              <w:lastRenderedPageBreak/>
              <w:t xml:space="preserve">Future </w:t>
            </w:r>
            <w:r w:rsidR="007C321B" w:rsidRPr="00B03C8B">
              <w:rPr>
                <w:rFonts w:cstheme="minorHAnsi"/>
                <w:sz w:val="20"/>
                <w:szCs w:val="20"/>
              </w:rPr>
              <w:t>Flood Zone Changes</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High-risk advisory flood zones </w:t>
            </w:r>
            <w:r w:rsidR="00F93752">
              <w:rPr>
                <w:rFonts w:cstheme="minorHAnsi"/>
                <w:sz w:val="20"/>
                <w:szCs w:val="20"/>
              </w:rPr>
              <w:t xml:space="preserve">are </w:t>
            </w:r>
            <w:r w:rsidRPr="00B03C8B">
              <w:rPr>
                <w:rFonts w:cstheme="minorHAnsi"/>
                <w:sz w:val="20"/>
                <w:szCs w:val="20"/>
              </w:rPr>
              <w:t xml:space="preserve">generated from new model-backed flood studies or from redelineation mapping.  Redelineation is the method of updating effective flood hazard boundaries to match updated topographic data based on the computed water surface elevations from effective models.  The public should be informed that these non-regulatory zones will most likely become effective when new Flood Insurance Rate Maps (FIRM) are published, and thus any development in these zones should be regulated to the same standards as effective high-risk flood zones.  High-risk advisory zones (Preliminary NFHL, Advisory A, Updated AE) are represented as orange-colored flood zones in the WV Flood Tool. </w:t>
            </w:r>
            <w:r w:rsidR="00BA0C79">
              <w:rPr>
                <w:rFonts w:cstheme="minorHAnsi"/>
                <w:sz w:val="20"/>
                <w:szCs w:val="20"/>
              </w:rPr>
              <w:t xml:space="preserve"> </w:t>
            </w:r>
            <w:r w:rsidR="00FC77E5" w:rsidRPr="00FC77E5">
              <w:rPr>
                <w:rFonts w:cstheme="minorHAnsi"/>
                <w:sz w:val="20"/>
                <w:szCs w:val="20"/>
              </w:rPr>
              <w:t>In local floodplain ordinances, communities may choose to adopt high-risk advisory zones as "community-identified floodplains" and regulated the same as the Special Flood Hazard Area of the official FIRM.</w:t>
            </w:r>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Building-Level Flood Risk Assessment</w:t>
            </w:r>
          </w:p>
        </w:tc>
        <w:tc>
          <w:tcPr>
            <w:tcW w:w="6930" w:type="dxa"/>
          </w:tcPr>
          <w:p w:rsidR="007C321B" w:rsidRPr="00B03C8B" w:rsidRDefault="007C321B" w:rsidP="007C321B">
            <w:pPr>
              <w:autoSpaceDE w:val="0"/>
              <w:autoSpaceDN w:val="0"/>
              <w:adjustRightInd w:val="0"/>
              <w:rPr>
                <w:rFonts w:cstheme="minorHAnsi"/>
                <w:sz w:val="20"/>
                <w:szCs w:val="20"/>
              </w:rPr>
            </w:pPr>
            <w:bookmarkStart w:id="22" w:name="_Hlk34085953"/>
            <w:r w:rsidRPr="00B03C8B">
              <w:rPr>
                <w:rFonts w:cstheme="minorHAnsi"/>
                <w:sz w:val="20"/>
                <w:szCs w:val="20"/>
              </w:rPr>
              <w:t xml:space="preserve">Flood Risk Assessment datasets are developed by pinpointing all primary insurable structures in the Special Flood Hazard Area or 100-year floodplain.  Historical and community assets (government buildings, churches) are also inventoried.  Essential facilities are inventoried to the 0.2-pecent (500-year) annual chance flood event.  Required building characteristics are Occupancy Class, Foundation Type, First Floor Height, Number of Stories, Area, and Replacement Cost.  Default values are populated from the State Parcel Assessment Database and modified with user-defined values.  Building pictures can be linked to the risk assessment using the unique building identifier.     </w:t>
            </w:r>
          </w:p>
          <w:bookmarkEnd w:id="22"/>
          <w:p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t>Buildings Exposed to Flooding:  An inventory of all buildings exposed to flooding.  A replacement value is determined for each primary structure.</w:t>
            </w:r>
          </w:p>
          <w:p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t xml:space="preserve">Buildings - Future Map Conditions:  Buildings are classified according to LOMA’s verified for positional accuracy and non-regulatory flood zones.  Categories are Mapped out SFHA (yellow), Mapped in SFHA (orange), No Change (red), and Regulatory Floodway (magenta star).  The color symbols have land use category letters for </w:t>
            </w:r>
            <w:r w:rsidRPr="00B03C8B">
              <w:rPr>
                <w:rFonts w:cstheme="minorHAnsi"/>
                <w:b/>
                <w:bCs/>
                <w:sz w:val="20"/>
                <w:szCs w:val="20"/>
              </w:rPr>
              <w:t>R</w:t>
            </w:r>
            <w:r w:rsidRPr="00B03C8B">
              <w:rPr>
                <w:rFonts w:cstheme="minorHAnsi"/>
                <w:sz w:val="20"/>
                <w:szCs w:val="20"/>
              </w:rPr>
              <w:t xml:space="preserve">esidential, </w:t>
            </w:r>
            <w:r w:rsidRPr="00B03C8B">
              <w:rPr>
                <w:rFonts w:cstheme="minorHAnsi"/>
                <w:b/>
                <w:bCs/>
                <w:sz w:val="20"/>
                <w:szCs w:val="20"/>
              </w:rPr>
              <w:t>C</w:t>
            </w:r>
            <w:r w:rsidRPr="00B03C8B">
              <w:rPr>
                <w:rFonts w:cstheme="minorHAnsi"/>
                <w:sz w:val="20"/>
                <w:szCs w:val="20"/>
              </w:rPr>
              <w:t xml:space="preserve">ommercial, and </w:t>
            </w:r>
            <w:r w:rsidRPr="00B03C8B">
              <w:rPr>
                <w:rFonts w:cstheme="minorHAnsi"/>
                <w:b/>
                <w:bCs/>
                <w:sz w:val="20"/>
                <w:szCs w:val="20"/>
              </w:rPr>
              <w:t>O</w:t>
            </w:r>
            <w:r w:rsidRPr="00B03C8B">
              <w:rPr>
                <w:rFonts w:cstheme="minorHAnsi"/>
                <w:sz w:val="20"/>
                <w:szCs w:val="20"/>
              </w:rPr>
              <w:t>ther.  Buildings “Mapped Out SFHA” should be considered for a LOMA Structure Removed status while Buildings “Mapped out SFHA” should be regulated to the 100-year floodplain standard until new effective maps are published.  For buildings in the “Floodway” there should be no development unless a No-Rise Certificate is issued.</w:t>
            </w:r>
            <w:r w:rsidR="000F729C">
              <w:rPr>
                <w:rFonts w:cstheme="minorHAnsi"/>
                <w:sz w:val="20"/>
                <w:szCs w:val="20"/>
              </w:rPr>
              <w:t xml:space="preserve">  </w:t>
            </w:r>
          </w:p>
          <w:p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t>Buildings - New Development and Basement:  The Building Year from Assessment Database is symbolized by FIRM (Pre-FIRM/Post-FIRM/Unknown) and Basement (Basement/No Basement) status.  Note:  A basement in the assessment database my not be a subgrade basement but a walkout basement.  Hence, basement designations from the assessment records should be field verified.</w:t>
            </w:r>
            <w:r w:rsidR="00DC34EB">
              <w:rPr>
                <w:rFonts w:cstheme="minorHAnsi"/>
                <w:sz w:val="20"/>
                <w:szCs w:val="20"/>
              </w:rPr>
              <w:t xml:space="preserve">  An audit of minus rated properties for Pre-FIRM and POST-FIRM structures should be performed and verified with Elevation Certificates or field surveys.   </w:t>
            </w:r>
            <w:r w:rsidR="001C3D1C">
              <w:rPr>
                <w:rFonts w:cstheme="minorHAnsi"/>
                <w:sz w:val="20"/>
                <w:szCs w:val="20"/>
              </w:rPr>
              <w:t xml:space="preserve">  </w:t>
            </w:r>
          </w:p>
          <w:p w:rsidR="007C321B" w:rsidRPr="00B03C8B" w:rsidRDefault="007C321B" w:rsidP="006900E8">
            <w:pPr>
              <w:pStyle w:val="ListParagraph"/>
              <w:numPr>
                <w:ilvl w:val="0"/>
                <w:numId w:val="4"/>
              </w:numPr>
              <w:autoSpaceDE w:val="0"/>
              <w:autoSpaceDN w:val="0"/>
              <w:adjustRightInd w:val="0"/>
              <w:spacing w:after="0" w:line="240" w:lineRule="auto"/>
              <w:ind w:left="346"/>
              <w:rPr>
                <w:rFonts w:cstheme="minorHAnsi"/>
                <w:sz w:val="20"/>
                <w:szCs w:val="20"/>
              </w:rPr>
            </w:pPr>
            <w:r w:rsidRPr="00B03C8B">
              <w:rPr>
                <w:rFonts w:cstheme="minorHAnsi"/>
                <w:sz w:val="20"/>
                <w:szCs w:val="20"/>
              </w:rPr>
              <w:lastRenderedPageBreak/>
              <w:t xml:space="preserve">Building Damage Loss Estimates (Hazus):  The Flood Risk Assessment dataset is generated from FEMA’s </w:t>
            </w:r>
            <w:proofErr w:type="spellStart"/>
            <w:r w:rsidRPr="00B03C8B">
              <w:rPr>
                <w:rFonts w:cstheme="minorHAnsi"/>
                <w:sz w:val="20"/>
                <w:szCs w:val="20"/>
              </w:rPr>
              <w:t>OpenHazus</w:t>
            </w:r>
            <w:proofErr w:type="spellEnd"/>
            <w:r w:rsidRPr="00B03C8B">
              <w:rPr>
                <w:rFonts w:cstheme="minorHAnsi"/>
                <w:sz w:val="20"/>
                <w:szCs w:val="20"/>
              </w:rPr>
              <w:t xml:space="preserve"> Flood Assessment Structure Tool (FAST) and presents loss estimates in dollar values and damage percent.  The depth grid, combined with an inventory of the built environment, is used by the Hazus Flood Model to determine flood loss potential, by applying the appropriate depth-damage curves, for a 100-year flood event.  Besides the Building Damage Percent/Dollars Loss, other model outputs of the FAST Utility site-specific risk assessment include the Contents Damage, Inventory Damage, Debris Removal, and Maximum Restoration Time.  Population per building is derived from the assessment Occupancy Type Class (e.g., Residential Single Family, Residential Multi Family) and census average residential household size.  Owner-occupied homes are determined from assessment fields Tax Class and Occupancy Class.         </w:t>
            </w:r>
          </w:p>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 </w:t>
            </w:r>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lastRenderedPageBreak/>
              <w:t>Other Risk Layers</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Other risk layers displayed in the WV Flood Tool include Dams, Levees, Landslides (other natural hazard), and High-Water Marks.  </w:t>
            </w:r>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CRS Program Variables</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The building-level inventory provides key program variables for FEMA’s Community Rating System (CRS) Program:  Buildings in the SFHA (</w:t>
            </w:r>
            <w:proofErr w:type="spellStart"/>
            <w:r w:rsidRPr="00B03C8B">
              <w:rPr>
                <w:rFonts w:cstheme="minorHAnsi"/>
                <w:sz w:val="20"/>
                <w:szCs w:val="20"/>
              </w:rPr>
              <w:t>bSF</w:t>
            </w:r>
            <w:proofErr w:type="spellEnd"/>
            <w:r w:rsidRPr="00B03C8B">
              <w:rPr>
                <w:rFonts w:cstheme="minorHAnsi"/>
                <w:sz w:val="20"/>
                <w:szCs w:val="20"/>
              </w:rPr>
              <w:t>) and Area in the SFHA (</w:t>
            </w:r>
            <w:proofErr w:type="spellStart"/>
            <w:r w:rsidRPr="00B03C8B">
              <w:rPr>
                <w:rFonts w:cstheme="minorHAnsi"/>
                <w:sz w:val="20"/>
                <w:szCs w:val="20"/>
              </w:rPr>
              <w:t>aSFHA</w:t>
            </w:r>
            <w:proofErr w:type="spellEnd"/>
            <w:r w:rsidRPr="00B03C8B">
              <w:rPr>
                <w:rFonts w:cstheme="minorHAnsi"/>
                <w:sz w:val="20"/>
                <w:szCs w:val="20"/>
              </w:rPr>
              <w:t>).</w:t>
            </w:r>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LOMA Verified</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 xml:space="preserve">Verified positional accuracy of LOMAs.  </w:t>
            </w:r>
            <w:bookmarkStart w:id="23" w:name="_Hlk36453946"/>
            <w:r w:rsidR="00375FBA">
              <w:rPr>
                <w:rFonts w:cstheme="minorHAnsi"/>
                <w:sz w:val="20"/>
                <w:szCs w:val="20"/>
              </w:rPr>
              <w:t xml:space="preserve">Current and historical </w:t>
            </w:r>
            <w:r w:rsidRPr="00B03C8B">
              <w:rPr>
                <w:rFonts w:cstheme="minorHAnsi"/>
                <w:sz w:val="20"/>
                <w:szCs w:val="20"/>
              </w:rPr>
              <w:t xml:space="preserve">LOMAs categorized as Structure Non-Removal, Removal, </w:t>
            </w:r>
            <w:r w:rsidR="00375FBA">
              <w:rPr>
                <w:rFonts w:cstheme="minorHAnsi"/>
                <w:sz w:val="20"/>
                <w:szCs w:val="20"/>
              </w:rPr>
              <w:t xml:space="preserve">or </w:t>
            </w:r>
            <w:r w:rsidRPr="00B03C8B">
              <w:rPr>
                <w:rFonts w:cstheme="minorHAnsi"/>
                <w:sz w:val="20"/>
                <w:szCs w:val="20"/>
              </w:rPr>
              <w:t>Out as Shown.</w:t>
            </w:r>
            <w:bookmarkEnd w:id="23"/>
          </w:p>
        </w:tc>
      </w:tr>
      <w:tr w:rsidR="007C321B" w:rsidTr="007C321B">
        <w:tc>
          <w:tcPr>
            <w:tcW w:w="2425"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Elevation Certificates</w:t>
            </w:r>
          </w:p>
        </w:tc>
        <w:tc>
          <w:tcPr>
            <w:tcW w:w="6930" w:type="dxa"/>
          </w:tcPr>
          <w:p w:rsidR="007C321B" w:rsidRPr="00B03C8B" w:rsidRDefault="007C321B" w:rsidP="007C321B">
            <w:pPr>
              <w:autoSpaceDE w:val="0"/>
              <w:autoSpaceDN w:val="0"/>
              <w:adjustRightInd w:val="0"/>
              <w:rPr>
                <w:rFonts w:cstheme="minorHAnsi"/>
                <w:sz w:val="20"/>
                <w:szCs w:val="20"/>
              </w:rPr>
            </w:pPr>
            <w:r w:rsidRPr="00B03C8B">
              <w:rPr>
                <w:rFonts w:cstheme="minorHAnsi"/>
                <w:sz w:val="20"/>
                <w:szCs w:val="20"/>
              </w:rPr>
              <w:t>Elevation Certificates are useful for determining lowest floor elevations for BFE regulatory compliance and for determining first-floor heights for building-level risk assessments.</w:t>
            </w:r>
          </w:p>
        </w:tc>
      </w:tr>
      <w:tr w:rsidR="00B03C8B" w:rsidTr="00B03C8B">
        <w:trPr>
          <w:trHeight w:val="2060"/>
        </w:trPr>
        <w:tc>
          <w:tcPr>
            <w:tcW w:w="2425" w:type="dxa"/>
          </w:tcPr>
          <w:p w:rsidR="00B03C8B" w:rsidRPr="00B03C8B" w:rsidRDefault="00B03C8B" w:rsidP="007C321B">
            <w:pPr>
              <w:autoSpaceDE w:val="0"/>
              <w:autoSpaceDN w:val="0"/>
              <w:adjustRightInd w:val="0"/>
              <w:rPr>
                <w:rFonts w:cstheme="minorHAnsi"/>
                <w:sz w:val="20"/>
                <w:szCs w:val="20"/>
              </w:rPr>
            </w:pPr>
            <w:r w:rsidRPr="00B03C8B">
              <w:rPr>
                <w:rFonts w:cstheme="minorHAnsi"/>
                <w:sz w:val="20"/>
                <w:szCs w:val="20"/>
              </w:rPr>
              <w:t>3D Flood Visualizations</w:t>
            </w:r>
          </w:p>
        </w:tc>
        <w:tc>
          <w:tcPr>
            <w:tcW w:w="6930" w:type="dxa"/>
          </w:tcPr>
          <w:p w:rsidR="00B03C8B" w:rsidRPr="00B03C8B" w:rsidRDefault="00B03C8B" w:rsidP="0017770C">
            <w:pPr>
              <w:tabs>
                <w:tab w:val="right" w:pos="9360"/>
              </w:tabs>
              <w:spacing w:line="259" w:lineRule="auto"/>
              <w:ind w:left="-14" w:right="360"/>
              <w:rPr>
                <w:rFonts w:cstheme="minorHAnsi"/>
                <w:sz w:val="20"/>
                <w:szCs w:val="20"/>
              </w:rPr>
            </w:pPr>
            <w:r w:rsidRPr="00B03C8B">
              <w:rPr>
                <w:sz w:val="20"/>
                <w:szCs w:val="20"/>
              </w:rPr>
              <w:t xml:space="preserve">3D Flood Visualizations </w:t>
            </w:r>
            <w:r>
              <w:rPr>
                <w:sz w:val="20"/>
                <w:szCs w:val="20"/>
              </w:rPr>
              <w:t xml:space="preserve">are </w:t>
            </w:r>
            <w:r w:rsidRPr="00B03C8B">
              <w:rPr>
                <w:sz w:val="20"/>
                <w:szCs w:val="20"/>
              </w:rPr>
              <w:t>rendered from the base flood water depth and</w:t>
            </w:r>
            <w:r>
              <w:rPr>
                <w:sz w:val="20"/>
                <w:szCs w:val="20"/>
              </w:rPr>
              <w:t xml:space="preserve"> </w:t>
            </w:r>
            <w:r w:rsidRPr="00B03C8B">
              <w:rPr>
                <w:sz w:val="20"/>
                <w:szCs w:val="20"/>
              </w:rPr>
              <w:t>building type (residential one- or two-story homes, mobile home, commercial/industrial)</w:t>
            </w:r>
            <w:r>
              <w:rPr>
                <w:sz w:val="20"/>
                <w:szCs w:val="20"/>
              </w:rPr>
              <w:t xml:space="preserve"> to effectively communicate flood risk</w:t>
            </w:r>
            <w:r w:rsidRPr="00B03C8B">
              <w:rPr>
                <w:sz w:val="20"/>
                <w:szCs w:val="20"/>
              </w:rPr>
              <w:t>.  By describing the depth-in-structure damage according to varying flood depths, visualizations are easier for non-technical users to understand flood risks to their property in feet of water rather than comprehending the base flood elevation (BFE).</w:t>
            </w:r>
          </w:p>
        </w:tc>
      </w:tr>
      <w:tr w:rsidR="0017770C" w:rsidTr="00B03C8B">
        <w:trPr>
          <w:trHeight w:val="2060"/>
        </w:trPr>
        <w:tc>
          <w:tcPr>
            <w:tcW w:w="2425" w:type="dxa"/>
          </w:tcPr>
          <w:p w:rsidR="0017770C" w:rsidRPr="0017770C" w:rsidRDefault="00CC6D15" w:rsidP="007C321B">
            <w:pPr>
              <w:autoSpaceDE w:val="0"/>
              <w:autoSpaceDN w:val="0"/>
              <w:adjustRightInd w:val="0"/>
              <w:rPr>
                <w:rFonts w:cstheme="minorHAnsi"/>
                <w:sz w:val="20"/>
                <w:szCs w:val="20"/>
              </w:rPr>
            </w:pPr>
            <w:r>
              <w:rPr>
                <w:rFonts w:cstheme="minorHAnsi"/>
                <w:sz w:val="20"/>
                <w:szCs w:val="20"/>
              </w:rPr>
              <w:t>Parcel</w:t>
            </w:r>
            <w:r w:rsidR="0017770C" w:rsidRPr="0017770C">
              <w:rPr>
                <w:rFonts w:cstheme="minorHAnsi"/>
                <w:sz w:val="20"/>
                <w:szCs w:val="20"/>
              </w:rPr>
              <w:t xml:space="preserve"> Assessment Report</w:t>
            </w:r>
          </w:p>
        </w:tc>
        <w:tc>
          <w:tcPr>
            <w:tcW w:w="6930" w:type="dxa"/>
          </w:tcPr>
          <w:p w:rsidR="0017770C" w:rsidRPr="0017770C" w:rsidRDefault="009215D3" w:rsidP="009215D3">
            <w:pPr>
              <w:tabs>
                <w:tab w:val="right" w:pos="9360"/>
              </w:tabs>
              <w:spacing w:line="259" w:lineRule="auto"/>
              <w:ind w:left="-14" w:right="360"/>
              <w:rPr>
                <w:sz w:val="20"/>
                <w:szCs w:val="20"/>
              </w:rPr>
            </w:pPr>
            <w:r>
              <w:rPr>
                <w:sz w:val="20"/>
                <w:szCs w:val="20"/>
              </w:rPr>
              <w:t xml:space="preserve">Detailed Parcel Assessment Reports provide information of all primary and secondary structures on a single parcel.  The reports include parcel and E-911 addresses, building values, primary and secondary structure attributes, parcel history, etc.  </w:t>
            </w:r>
            <w:r w:rsidR="0017770C" w:rsidRPr="0017770C">
              <w:rPr>
                <w:sz w:val="20"/>
                <w:szCs w:val="20"/>
              </w:rPr>
              <w:t>Both the E-911 site addresses, parcels, and assessment records are integrated from local sources into statewide databases that are beneficial for identifying property locations and building parameters (building cost, year, property class, etc.).  The parcel geometry and assessment records are updated annually by the WV Property Tax Division and WV GIS Technical Center, while the statewide addressing and geocoding services are typically updated twice a year by the WV Division of Homeland Security and WV GIS Technical Center.</w:t>
            </w:r>
          </w:p>
        </w:tc>
      </w:tr>
      <w:tr w:rsidR="007C5743" w:rsidTr="00B03C8B">
        <w:trPr>
          <w:trHeight w:val="2060"/>
        </w:trPr>
        <w:tc>
          <w:tcPr>
            <w:tcW w:w="2425" w:type="dxa"/>
          </w:tcPr>
          <w:p w:rsidR="007C5743" w:rsidRPr="0017770C" w:rsidRDefault="007C5743" w:rsidP="007C321B">
            <w:pPr>
              <w:autoSpaceDE w:val="0"/>
              <w:autoSpaceDN w:val="0"/>
              <w:adjustRightInd w:val="0"/>
              <w:rPr>
                <w:rFonts w:cstheme="minorHAnsi"/>
                <w:sz w:val="20"/>
                <w:szCs w:val="20"/>
              </w:rPr>
            </w:pPr>
            <w:r>
              <w:rPr>
                <w:sz w:val="20"/>
                <w:szCs w:val="20"/>
              </w:rPr>
              <w:lastRenderedPageBreak/>
              <w:t xml:space="preserve">Mitigation Layer:  </w:t>
            </w:r>
            <w:r w:rsidRPr="007C5743">
              <w:rPr>
                <w:sz w:val="20"/>
                <w:szCs w:val="20"/>
              </w:rPr>
              <w:t>Areas of Mitigation Interest</w:t>
            </w:r>
          </w:p>
        </w:tc>
        <w:tc>
          <w:tcPr>
            <w:tcW w:w="6930" w:type="dxa"/>
          </w:tcPr>
          <w:p w:rsidR="007C5743" w:rsidRDefault="007C5743" w:rsidP="009215D3">
            <w:pPr>
              <w:tabs>
                <w:tab w:val="right" w:pos="9360"/>
              </w:tabs>
              <w:spacing w:line="259" w:lineRule="auto"/>
              <w:ind w:left="-14" w:right="360"/>
              <w:rPr>
                <w:sz w:val="20"/>
                <w:szCs w:val="20"/>
              </w:rPr>
            </w:pPr>
            <w:r w:rsidRPr="007C5743">
              <w:rPr>
                <w:sz w:val="20"/>
                <w:szCs w:val="20"/>
              </w:rPr>
              <w:t>The Areas of Mitigation Interest (</w:t>
            </w:r>
            <w:proofErr w:type="spellStart"/>
            <w:r w:rsidRPr="007C5743">
              <w:rPr>
                <w:sz w:val="20"/>
                <w:szCs w:val="20"/>
              </w:rPr>
              <w:t>AoMI</w:t>
            </w:r>
            <w:proofErr w:type="spellEnd"/>
            <w:r w:rsidRPr="007C5743">
              <w:rPr>
                <w:sz w:val="20"/>
                <w:szCs w:val="20"/>
              </w:rPr>
              <w:t xml:space="preserve">) dataset assists communities in determining specific actions to increase their resilience from floods. </w:t>
            </w:r>
            <w:proofErr w:type="spellStart"/>
            <w:r w:rsidRPr="007C5743">
              <w:rPr>
                <w:sz w:val="20"/>
                <w:szCs w:val="20"/>
              </w:rPr>
              <w:t>AoMI</w:t>
            </w:r>
            <w:proofErr w:type="spellEnd"/>
            <w:r w:rsidRPr="007C5743">
              <w:rPr>
                <w:sz w:val="20"/>
                <w:szCs w:val="20"/>
              </w:rPr>
              <w:t xml:space="preserve"> identifies currently planned mitigation activities as well as areas of potential future action. It encourages collaboration among communities within the project area by providing with them the basis to assess how various mitigation action scenarios can successfully reduce their collective flood risk.  </w:t>
            </w:r>
            <w:proofErr w:type="spellStart"/>
            <w:r w:rsidRPr="007C5743">
              <w:rPr>
                <w:sz w:val="20"/>
                <w:szCs w:val="20"/>
              </w:rPr>
              <w:t>AoMIs</w:t>
            </w:r>
            <w:proofErr w:type="spellEnd"/>
            <w:r w:rsidRPr="007C5743">
              <w:rPr>
                <w:sz w:val="20"/>
                <w:szCs w:val="20"/>
              </w:rPr>
              <w:t xml:space="preserve"> are identified by communities as part of the State's Flood Risk Assessment.</w:t>
            </w:r>
          </w:p>
        </w:tc>
      </w:tr>
      <w:tr w:rsidR="0080292B" w:rsidTr="0080292B">
        <w:trPr>
          <w:trHeight w:val="1484"/>
        </w:trPr>
        <w:tc>
          <w:tcPr>
            <w:tcW w:w="2425" w:type="dxa"/>
          </w:tcPr>
          <w:p w:rsidR="0080292B" w:rsidRDefault="0080292B" w:rsidP="0080292B">
            <w:pPr>
              <w:autoSpaceDE w:val="0"/>
              <w:autoSpaceDN w:val="0"/>
              <w:adjustRightInd w:val="0"/>
              <w:rPr>
                <w:rFonts w:cstheme="minorHAnsi"/>
                <w:sz w:val="20"/>
                <w:szCs w:val="20"/>
              </w:rPr>
            </w:pPr>
            <w:r w:rsidRPr="00B03C8B">
              <w:rPr>
                <w:rFonts w:cstheme="minorHAnsi"/>
                <w:sz w:val="20"/>
                <w:szCs w:val="20"/>
              </w:rPr>
              <w:t>Mitigation Layer:  Open Space Preservation</w:t>
            </w:r>
          </w:p>
          <w:p w:rsidR="0080292B" w:rsidRDefault="0080292B" w:rsidP="0080292B">
            <w:pPr>
              <w:autoSpaceDE w:val="0"/>
              <w:autoSpaceDN w:val="0"/>
              <w:adjustRightInd w:val="0"/>
              <w:rPr>
                <w:rFonts w:cstheme="minorHAnsi"/>
                <w:sz w:val="20"/>
                <w:szCs w:val="20"/>
              </w:rPr>
            </w:pPr>
          </w:p>
          <w:p w:rsidR="0080292B" w:rsidRPr="00B03C8B" w:rsidRDefault="0080292B" w:rsidP="0080292B">
            <w:pPr>
              <w:autoSpaceDE w:val="0"/>
              <w:autoSpaceDN w:val="0"/>
              <w:adjustRightInd w:val="0"/>
              <w:rPr>
                <w:rFonts w:cstheme="minorHAnsi"/>
                <w:sz w:val="20"/>
                <w:szCs w:val="20"/>
              </w:rPr>
            </w:pPr>
          </w:p>
        </w:tc>
        <w:tc>
          <w:tcPr>
            <w:tcW w:w="6930" w:type="dxa"/>
          </w:tcPr>
          <w:p w:rsidR="0080292B" w:rsidRPr="00B03C8B" w:rsidRDefault="0080292B" w:rsidP="0080292B">
            <w:pPr>
              <w:autoSpaceDE w:val="0"/>
              <w:autoSpaceDN w:val="0"/>
              <w:adjustRightInd w:val="0"/>
              <w:rPr>
                <w:rFonts w:cstheme="minorHAnsi"/>
                <w:sz w:val="20"/>
                <w:szCs w:val="20"/>
              </w:rPr>
            </w:pPr>
            <w:r w:rsidRPr="00B03C8B">
              <w:rPr>
                <w:rFonts w:cstheme="minorHAnsi"/>
                <w:sz w:val="20"/>
                <w:szCs w:val="20"/>
              </w:rPr>
              <w:t xml:space="preserve">Open Space Preservation layers restore the floodplain to its natural function and provides opportunities for credits from FEMA’s Community Rating System (CRS).  Open Space Preservation layers include Deed Restricted Buyout Properties, Private Lands (Nature Preserves, Land Trust) and Public Lands (state and local lands). </w:t>
            </w:r>
          </w:p>
        </w:tc>
      </w:tr>
    </w:tbl>
    <w:p w:rsidR="007C321B" w:rsidRDefault="007C321B" w:rsidP="007C321B">
      <w:pPr>
        <w:autoSpaceDE w:val="0"/>
        <w:autoSpaceDN w:val="0"/>
        <w:adjustRightInd w:val="0"/>
        <w:spacing w:after="0" w:line="240" w:lineRule="auto"/>
        <w:rPr>
          <w:rFonts w:ascii="ITCFranklinGothicStd-BkCd" w:hAnsi="ITCFranklinGothicStd-BkCd" w:cs="ITCFranklinGothicStd-BkCd"/>
          <w:color w:val="363636"/>
        </w:rPr>
      </w:pPr>
    </w:p>
    <w:p w:rsidR="00860E71" w:rsidRDefault="00860E71">
      <w:pPr>
        <w:rPr>
          <w:rStyle w:val="TableFigureChar"/>
        </w:rPr>
      </w:pPr>
      <w:bookmarkStart w:id="24" w:name="_Toc34317956"/>
      <w:bookmarkStart w:id="25" w:name="_Toc34388234"/>
      <w:r>
        <w:rPr>
          <w:rStyle w:val="TableFigureChar"/>
        </w:rPr>
        <w:br w:type="page"/>
      </w:r>
    </w:p>
    <w:p w:rsidR="007C321B" w:rsidRDefault="007C321B" w:rsidP="007C321B">
      <w:pPr>
        <w:spacing w:after="0"/>
        <w:rPr>
          <w:rFonts w:ascii="Calibri" w:eastAsia="Times New Roman" w:hAnsi="Calibri" w:cs="Calibri"/>
          <w:color w:val="000000"/>
          <w:szCs w:val="20"/>
        </w:rPr>
      </w:pPr>
      <w:r w:rsidRPr="007C321B">
        <w:rPr>
          <w:rStyle w:val="TableFigureChar"/>
        </w:rPr>
        <w:lastRenderedPageBreak/>
        <w:t>Table 2.  Flood Risk Layers</w:t>
      </w:r>
      <w:bookmarkEnd w:id="24"/>
      <w:bookmarkEnd w:id="25"/>
      <w:r>
        <w:rPr>
          <w:rFonts w:ascii="Calibri" w:eastAsia="Times New Roman" w:hAnsi="Calibri" w:cs="Calibri"/>
          <w:color w:val="000000"/>
          <w:szCs w:val="20"/>
        </w:rPr>
        <w:t xml:space="preserve"> (Flood Risk Assessment GIS Geodatabase)</w:t>
      </w:r>
    </w:p>
    <w:tbl>
      <w:tblPr>
        <w:tblStyle w:val="TableGrid"/>
        <w:tblW w:w="9715" w:type="dxa"/>
        <w:tblLook w:val="04A0" w:firstRow="1" w:lastRow="0" w:firstColumn="1" w:lastColumn="0" w:noHBand="0" w:noVBand="1"/>
      </w:tblPr>
      <w:tblGrid>
        <w:gridCol w:w="4225"/>
        <w:gridCol w:w="2250"/>
        <w:gridCol w:w="3240"/>
      </w:tblGrid>
      <w:tr w:rsidR="007C321B" w:rsidTr="007C321B">
        <w:tc>
          <w:tcPr>
            <w:tcW w:w="4225" w:type="dxa"/>
            <w:shd w:val="clear" w:color="auto" w:fill="808080" w:themeFill="background1" w:themeFillShade="80"/>
          </w:tcPr>
          <w:p w:rsidR="007C321B" w:rsidRPr="00855AFD" w:rsidRDefault="007C321B" w:rsidP="007C321B">
            <w:pPr>
              <w:jc w:val="center"/>
              <w:rPr>
                <w:rFonts w:cstheme="minorHAnsi"/>
                <w:b/>
                <w:bCs/>
                <w:color w:val="FFFFFF" w:themeColor="background1"/>
                <w:sz w:val="20"/>
                <w:szCs w:val="20"/>
              </w:rPr>
            </w:pPr>
            <w:r w:rsidRPr="00855AFD">
              <w:rPr>
                <w:rFonts w:cstheme="minorHAnsi"/>
                <w:b/>
                <w:bCs/>
                <w:color w:val="FFFFFF" w:themeColor="background1"/>
                <w:sz w:val="20"/>
                <w:szCs w:val="20"/>
              </w:rPr>
              <w:t>RISK LAYER</w:t>
            </w:r>
          </w:p>
        </w:tc>
        <w:tc>
          <w:tcPr>
            <w:tcW w:w="2250" w:type="dxa"/>
            <w:shd w:val="clear" w:color="auto" w:fill="808080" w:themeFill="background1" w:themeFillShade="80"/>
          </w:tcPr>
          <w:p w:rsidR="007C321B" w:rsidRPr="00855AFD" w:rsidRDefault="007C321B" w:rsidP="007C321B">
            <w:pPr>
              <w:jc w:val="center"/>
              <w:rPr>
                <w:rFonts w:cstheme="minorHAnsi"/>
                <w:b/>
                <w:bCs/>
                <w:color w:val="FFFFFF" w:themeColor="background1"/>
                <w:sz w:val="20"/>
                <w:szCs w:val="20"/>
              </w:rPr>
            </w:pPr>
            <w:r w:rsidRPr="00855AFD">
              <w:rPr>
                <w:rFonts w:cstheme="minorHAnsi"/>
                <w:b/>
                <w:bCs/>
                <w:color w:val="FFFFFF" w:themeColor="background1"/>
                <w:sz w:val="20"/>
                <w:szCs w:val="20"/>
              </w:rPr>
              <w:t>CATEGORY</w:t>
            </w:r>
          </w:p>
        </w:tc>
        <w:tc>
          <w:tcPr>
            <w:tcW w:w="3240" w:type="dxa"/>
            <w:shd w:val="clear" w:color="auto" w:fill="808080" w:themeFill="background1" w:themeFillShade="80"/>
          </w:tcPr>
          <w:p w:rsidR="007C321B" w:rsidRPr="00855AFD" w:rsidRDefault="007C321B" w:rsidP="007C321B">
            <w:pPr>
              <w:jc w:val="center"/>
              <w:rPr>
                <w:rFonts w:cstheme="minorHAnsi"/>
                <w:b/>
                <w:bCs/>
                <w:color w:val="FFFFFF" w:themeColor="background1"/>
                <w:sz w:val="20"/>
                <w:szCs w:val="20"/>
              </w:rPr>
            </w:pPr>
            <w:r w:rsidRPr="00855AFD">
              <w:rPr>
                <w:rFonts w:cstheme="minorHAnsi"/>
                <w:b/>
                <w:bCs/>
                <w:color w:val="FFFFFF" w:themeColor="background1"/>
                <w:sz w:val="20"/>
                <w:szCs w:val="20"/>
              </w:rPr>
              <w:t>SOURCES</w:t>
            </w:r>
          </w:p>
        </w:tc>
      </w:tr>
      <w:tr w:rsidR="007C321B" w:rsidTr="007C321B">
        <w:tc>
          <w:tcPr>
            <w:tcW w:w="9715" w:type="dxa"/>
            <w:gridSpan w:val="3"/>
            <w:shd w:val="clear" w:color="auto" w:fill="auto"/>
          </w:tcPr>
          <w:p w:rsidR="007C321B" w:rsidRPr="00855AFD" w:rsidRDefault="007C321B" w:rsidP="007C321B">
            <w:pPr>
              <w:jc w:val="center"/>
              <w:rPr>
                <w:rFonts w:cstheme="minorHAnsi"/>
                <w:sz w:val="20"/>
                <w:szCs w:val="20"/>
              </w:rPr>
            </w:pPr>
            <w:r w:rsidRPr="00855AFD">
              <w:rPr>
                <w:rFonts w:cstheme="minorHAnsi"/>
                <w:sz w:val="20"/>
                <w:szCs w:val="20"/>
              </w:rPr>
              <w:t>1% Chance Flood Event (100-Year)</w:t>
            </w:r>
          </w:p>
        </w:tc>
      </w:tr>
      <w:tr w:rsidR="007C321B" w:rsidTr="007C321B">
        <w:tc>
          <w:tcPr>
            <w:tcW w:w="4225" w:type="dxa"/>
            <w:shd w:val="clear" w:color="auto" w:fill="DAEEF3" w:themeFill="accent5" w:themeFillTint="33"/>
          </w:tcPr>
          <w:p w:rsidR="007C321B" w:rsidRPr="00855AFD" w:rsidRDefault="007C321B" w:rsidP="006900E8">
            <w:pPr>
              <w:pStyle w:val="ListParagraph"/>
              <w:numPr>
                <w:ilvl w:val="0"/>
                <w:numId w:val="10"/>
              </w:numPr>
              <w:spacing w:after="0" w:line="240" w:lineRule="auto"/>
              <w:rPr>
                <w:rFonts w:cstheme="minorHAnsi"/>
                <w:sz w:val="20"/>
                <w:szCs w:val="20"/>
              </w:rPr>
            </w:pPr>
            <w:r w:rsidRPr="00855AFD">
              <w:rPr>
                <w:rFonts w:cstheme="minorHAnsi"/>
                <w:sz w:val="20"/>
                <w:szCs w:val="20"/>
              </w:rPr>
              <w:t>Flood Depth Grid</w:t>
            </w:r>
          </w:p>
          <w:p w:rsidR="007C321B" w:rsidRPr="00855AFD" w:rsidRDefault="007C321B" w:rsidP="006900E8">
            <w:pPr>
              <w:pStyle w:val="ListParagraph"/>
              <w:numPr>
                <w:ilvl w:val="1"/>
                <w:numId w:val="10"/>
              </w:numPr>
              <w:spacing w:after="0" w:line="240" w:lineRule="auto"/>
              <w:ind w:left="792"/>
              <w:rPr>
                <w:rFonts w:cstheme="minorHAnsi"/>
                <w:sz w:val="20"/>
                <w:szCs w:val="20"/>
              </w:rPr>
            </w:pPr>
            <w:r w:rsidRPr="00855AFD">
              <w:rPr>
                <w:rFonts w:cstheme="minorHAnsi"/>
                <w:sz w:val="20"/>
                <w:szCs w:val="20"/>
              </w:rPr>
              <w:t>Model-Backed</w:t>
            </w:r>
          </w:p>
          <w:p w:rsidR="007C321B" w:rsidRPr="00855AFD" w:rsidRDefault="007C321B" w:rsidP="006900E8">
            <w:pPr>
              <w:pStyle w:val="ListParagraph"/>
              <w:numPr>
                <w:ilvl w:val="1"/>
                <w:numId w:val="10"/>
              </w:numPr>
              <w:spacing w:after="0" w:line="240" w:lineRule="auto"/>
              <w:ind w:left="792"/>
              <w:rPr>
                <w:rFonts w:cstheme="minorHAnsi"/>
                <w:sz w:val="20"/>
                <w:szCs w:val="20"/>
              </w:rPr>
            </w:pPr>
            <w:r w:rsidRPr="00855AFD">
              <w:rPr>
                <w:rFonts w:cstheme="minorHAnsi"/>
                <w:sz w:val="20"/>
                <w:szCs w:val="20"/>
              </w:rPr>
              <w:t>Hazus</w:t>
            </w:r>
          </w:p>
        </w:tc>
        <w:tc>
          <w:tcPr>
            <w:tcW w:w="2250" w:type="dxa"/>
            <w:shd w:val="clear" w:color="auto" w:fill="DAEEF3" w:themeFill="accent5" w:themeFillTint="33"/>
          </w:tcPr>
          <w:p w:rsidR="007C321B" w:rsidRPr="00855AFD" w:rsidRDefault="007C321B" w:rsidP="007C321B">
            <w:pPr>
              <w:rPr>
                <w:rFonts w:cstheme="minorHAnsi"/>
                <w:sz w:val="20"/>
                <w:szCs w:val="20"/>
              </w:rPr>
            </w:pPr>
            <w:r w:rsidRPr="00855AFD">
              <w:rPr>
                <w:rFonts w:cstheme="minorHAnsi"/>
                <w:sz w:val="20"/>
                <w:szCs w:val="20"/>
              </w:rPr>
              <w:t>Flood Risk Grid</w:t>
            </w:r>
          </w:p>
        </w:tc>
        <w:tc>
          <w:tcPr>
            <w:tcW w:w="3240" w:type="dxa"/>
            <w:shd w:val="clear" w:color="auto" w:fill="DAEEF3" w:themeFill="accent5" w:themeFillTint="33"/>
          </w:tcPr>
          <w:p w:rsidR="007C321B" w:rsidRPr="00855AFD" w:rsidRDefault="007C321B" w:rsidP="007C321B">
            <w:pPr>
              <w:rPr>
                <w:rFonts w:cstheme="minorHAnsi"/>
                <w:sz w:val="20"/>
                <w:szCs w:val="20"/>
              </w:rPr>
            </w:pPr>
            <w:r w:rsidRPr="00855AFD">
              <w:rPr>
                <w:rFonts w:cstheme="minorHAnsi"/>
                <w:sz w:val="20"/>
                <w:szCs w:val="20"/>
              </w:rPr>
              <w:t>FEMA RiskMAP Restudies, Non-Restudies, Hazus</w:t>
            </w:r>
          </w:p>
        </w:tc>
      </w:tr>
      <w:tr w:rsidR="007C321B" w:rsidTr="007C321B">
        <w:tc>
          <w:tcPr>
            <w:tcW w:w="4225" w:type="dxa"/>
            <w:shd w:val="clear" w:color="auto" w:fill="DAEEF3" w:themeFill="accent5" w:themeFillTint="33"/>
          </w:tcPr>
          <w:p w:rsidR="007C321B" w:rsidRPr="00855AFD" w:rsidRDefault="007C321B" w:rsidP="006900E8">
            <w:pPr>
              <w:pStyle w:val="ListParagraph"/>
              <w:numPr>
                <w:ilvl w:val="0"/>
                <w:numId w:val="9"/>
              </w:numPr>
              <w:spacing w:after="0" w:line="240" w:lineRule="auto"/>
              <w:rPr>
                <w:rFonts w:cstheme="minorHAnsi"/>
                <w:sz w:val="20"/>
                <w:szCs w:val="20"/>
              </w:rPr>
            </w:pPr>
            <w:r w:rsidRPr="00855AFD">
              <w:rPr>
                <w:rFonts w:cstheme="minorHAnsi"/>
                <w:sz w:val="20"/>
                <w:szCs w:val="20"/>
              </w:rPr>
              <w:t>Water Surface Elevation Grid</w:t>
            </w:r>
          </w:p>
          <w:p w:rsidR="007C321B" w:rsidRPr="00855AFD" w:rsidRDefault="007C321B" w:rsidP="006900E8">
            <w:pPr>
              <w:pStyle w:val="ListParagraph"/>
              <w:numPr>
                <w:ilvl w:val="1"/>
                <w:numId w:val="9"/>
              </w:numPr>
              <w:spacing w:after="0" w:line="240" w:lineRule="auto"/>
              <w:ind w:left="792"/>
              <w:rPr>
                <w:rFonts w:cstheme="minorHAnsi"/>
                <w:sz w:val="20"/>
                <w:szCs w:val="20"/>
              </w:rPr>
            </w:pPr>
            <w:r w:rsidRPr="00855AFD">
              <w:rPr>
                <w:rFonts w:cstheme="minorHAnsi"/>
                <w:sz w:val="20"/>
                <w:szCs w:val="20"/>
              </w:rPr>
              <w:t xml:space="preserve">Base Flood Elevations </w:t>
            </w:r>
          </w:p>
          <w:p w:rsidR="007C321B" w:rsidRPr="00855AFD" w:rsidRDefault="007C321B" w:rsidP="006900E8">
            <w:pPr>
              <w:pStyle w:val="ListParagraph"/>
              <w:numPr>
                <w:ilvl w:val="1"/>
                <w:numId w:val="9"/>
              </w:numPr>
              <w:spacing w:after="0" w:line="240" w:lineRule="auto"/>
              <w:ind w:left="792"/>
              <w:rPr>
                <w:rFonts w:cstheme="minorHAnsi"/>
                <w:sz w:val="20"/>
                <w:szCs w:val="20"/>
              </w:rPr>
            </w:pPr>
            <w:r w:rsidRPr="00855AFD">
              <w:rPr>
                <w:rFonts w:cstheme="minorHAnsi"/>
                <w:sz w:val="20"/>
                <w:szCs w:val="20"/>
              </w:rPr>
              <w:t xml:space="preserve">Advisory BFEs </w:t>
            </w:r>
          </w:p>
        </w:tc>
        <w:tc>
          <w:tcPr>
            <w:tcW w:w="2250" w:type="dxa"/>
            <w:shd w:val="clear" w:color="auto" w:fill="DAEEF3" w:themeFill="accent5" w:themeFillTint="33"/>
          </w:tcPr>
          <w:p w:rsidR="007C321B" w:rsidRPr="00855AFD" w:rsidRDefault="007C321B" w:rsidP="007C321B">
            <w:pPr>
              <w:rPr>
                <w:rFonts w:cstheme="minorHAnsi"/>
                <w:sz w:val="20"/>
                <w:szCs w:val="20"/>
              </w:rPr>
            </w:pPr>
            <w:r w:rsidRPr="00855AFD">
              <w:rPr>
                <w:rFonts w:cstheme="minorHAnsi"/>
                <w:sz w:val="20"/>
                <w:szCs w:val="20"/>
              </w:rPr>
              <w:t>Flood Risk Grid</w:t>
            </w:r>
          </w:p>
        </w:tc>
        <w:tc>
          <w:tcPr>
            <w:tcW w:w="3240" w:type="dxa"/>
            <w:shd w:val="clear" w:color="auto" w:fill="DAEEF3" w:themeFill="accent5" w:themeFillTint="33"/>
          </w:tcPr>
          <w:p w:rsidR="007C321B" w:rsidRPr="00855AFD" w:rsidRDefault="007C321B" w:rsidP="007C321B">
            <w:pPr>
              <w:rPr>
                <w:rFonts w:cstheme="minorHAnsi"/>
                <w:sz w:val="20"/>
                <w:szCs w:val="20"/>
              </w:rPr>
            </w:pPr>
            <w:r w:rsidRPr="00855AFD">
              <w:rPr>
                <w:rFonts w:cstheme="minorHAnsi"/>
                <w:sz w:val="20"/>
                <w:szCs w:val="20"/>
              </w:rPr>
              <w:t>FEMA Restudies, Non-Restudies</w:t>
            </w:r>
          </w:p>
        </w:tc>
      </w:tr>
      <w:tr w:rsidR="007C321B" w:rsidTr="004D38BF">
        <w:tc>
          <w:tcPr>
            <w:tcW w:w="4225" w:type="dxa"/>
            <w:shd w:val="clear" w:color="auto" w:fill="F8BDBA" w:themeFill="text2" w:themeFillTint="33"/>
          </w:tcPr>
          <w:p w:rsidR="007C321B" w:rsidRPr="00855AFD" w:rsidRDefault="007C321B" w:rsidP="006900E8">
            <w:pPr>
              <w:pStyle w:val="ListParagraph"/>
              <w:numPr>
                <w:ilvl w:val="0"/>
                <w:numId w:val="9"/>
              </w:numPr>
              <w:spacing w:after="0" w:line="240" w:lineRule="auto"/>
              <w:rPr>
                <w:rFonts w:cstheme="minorHAnsi"/>
                <w:sz w:val="20"/>
                <w:szCs w:val="20"/>
              </w:rPr>
            </w:pPr>
            <w:bookmarkStart w:id="26" w:name="_Hlk33727903"/>
            <w:r w:rsidRPr="00855AFD">
              <w:rPr>
                <w:rFonts w:cstheme="minorHAnsi"/>
                <w:sz w:val="20"/>
                <w:szCs w:val="20"/>
              </w:rPr>
              <w:t>Preliminary NFHL</w:t>
            </w:r>
          </w:p>
          <w:p w:rsidR="007C321B" w:rsidRPr="00855AFD" w:rsidRDefault="007C321B" w:rsidP="006900E8">
            <w:pPr>
              <w:pStyle w:val="ListParagraph"/>
              <w:numPr>
                <w:ilvl w:val="1"/>
                <w:numId w:val="9"/>
              </w:numPr>
              <w:spacing w:after="0" w:line="240" w:lineRule="auto"/>
              <w:ind w:left="792"/>
              <w:rPr>
                <w:rFonts w:cstheme="minorHAnsi"/>
                <w:sz w:val="20"/>
                <w:szCs w:val="20"/>
              </w:rPr>
            </w:pPr>
            <w:r w:rsidRPr="00855AFD">
              <w:rPr>
                <w:rFonts w:cstheme="minorHAnsi"/>
                <w:sz w:val="20"/>
                <w:szCs w:val="20"/>
              </w:rPr>
              <w:t>Changes Since Last FIRM (CSLF)</w:t>
            </w:r>
          </w:p>
        </w:tc>
        <w:tc>
          <w:tcPr>
            <w:tcW w:w="2250" w:type="dxa"/>
            <w:shd w:val="clear" w:color="auto" w:fill="F8BDBA" w:themeFill="text2" w:themeFillTint="33"/>
          </w:tcPr>
          <w:p w:rsidR="007C321B" w:rsidRPr="00855AFD" w:rsidRDefault="007C321B" w:rsidP="007C321B">
            <w:pPr>
              <w:rPr>
                <w:rFonts w:cstheme="minorHAnsi"/>
                <w:sz w:val="20"/>
                <w:szCs w:val="20"/>
              </w:rPr>
            </w:pPr>
            <w:r w:rsidRPr="00855AFD">
              <w:rPr>
                <w:rFonts w:cstheme="minorHAnsi"/>
                <w:sz w:val="20"/>
                <w:szCs w:val="20"/>
              </w:rPr>
              <w:t>Flood Zone Changes</w:t>
            </w:r>
          </w:p>
        </w:tc>
        <w:tc>
          <w:tcPr>
            <w:tcW w:w="3240" w:type="dxa"/>
            <w:shd w:val="clear" w:color="auto" w:fill="F8BDBA" w:themeFill="text2" w:themeFillTint="33"/>
          </w:tcPr>
          <w:p w:rsidR="007C321B" w:rsidRPr="00855AFD" w:rsidRDefault="007C321B" w:rsidP="007C321B">
            <w:pPr>
              <w:rPr>
                <w:rFonts w:cstheme="minorHAnsi"/>
                <w:sz w:val="20"/>
                <w:szCs w:val="20"/>
              </w:rPr>
            </w:pPr>
            <w:r w:rsidRPr="00855AFD">
              <w:rPr>
                <w:rFonts w:cstheme="minorHAnsi"/>
                <w:sz w:val="20"/>
                <w:szCs w:val="20"/>
              </w:rPr>
              <w:t>FEMA Preliminary NFHL</w:t>
            </w:r>
          </w:p>
        </w:tc>
      </w:tr>
      <w:tr w:rsidR="007C321B" w:rsidTr="004D38BF">
        <w:tc>
          <w:tcPr>
            <w:tcW w:w="4225" w:type="dxa"/>
            <w:shd w:val="clear" w:color="auto" w:fill="F8BDBA" w:themeFill="text2" w:themeFillTint="33"/>
          </w:tcPr>
          <w:p w:rsidR="007C321B" w:rsidRPr="00855AFD" w:rsidRDefault="007C321B" w:rsidP="006900E8">
            <w:pPr>
              <w:pStyle w:val="ListParagraph"/>
              <w:numPr>
                <w:ilvl w:val="0"/>
                <w:numId w:val="8"/>
              </w:numPr>
              <w:spacing w:after="0" w:line="240" w:lineRule="auto"/>
              <w:rPr>
                <w:rFonts w:cstheme="minorHAnsi"/>
                <w:sz w:val="20"/>
                <w:szCs w:val="20"/>
              </w:rPr>
            </w:pPr>
            <w:r w:rsidRPr="00855AFD">
              <w:rPr>
                <w:rFonts w:cstheme="minorHAnsi"/>
                <w:sz w:val="20"/>
                <w:szCs w:val="20"/>
              </w:rPr>
              <w:t>High-Risk Advisory Flood Zones</w:t>
            </w:r>
            <w:r w:rsidRPr="00855AFD">
              <w:rPr>
                <w:rFonts w:cstheme="minorHAnsi"/>
                <w:sz w:val="20"/>
                <w:szCs w:val="20"/>
              </w:rPr>
              <w:br/>
              <w:t>(Non-Regulatory)</w:t>
            </w:r>
          </w:p>
        </w:tc>
        <w:tc>
          <w:tcPr>
            <w:tcW w:w="2250" w:type="dxa"/>
            <w:shd w:val="clear" w:color="auto" w:fill="F8BDBA" w:themeFill="text2" w:themeFillTint="33"/>
          </w:tcPr>
          <w:p w:rsidR="007C321B" w:rsidRPr="00855AFD" w:rsidRDefault="007C321B" w:rsidP="007C321B">
            <w:pPr>
              <w:rPr>
                <w:rFonts w:cstheme="minorHAnsi"/>
                <w:sz w:val="20"/>
                <w:szCs w:val="20"/>
              </w:rPr>
            </w:pPr>
            <w:r w:rsidRPr="00855AFD">
              <w:rPr>
                <w:rFonts w:cstheme="minorHAnsi"/>
                <w:sz w:val="20"/>
                <w:szCs w:val="20"/>
              </w:rPr>
              <w:t>Flood Zone Changes</w:t>
            </w:r>
          </w:p>
        </w:tc>
        <w:tc>
          <w:tcPr>
            <w:tcW w:w="3240" w:type="dxa"/>
            <w:shd w:val="clear" w:color="auto" w:fill="F8BDBA" w:themeFill="text2" w:themeFillTint="33"/>
          </w:tcPr>
          <w:p w:rsidR="007C321B" w:rsidRPr="00855AFD" w:rsidRDefault="007C321B" w:rsidP="007C321B">
            <w:pPr>
              <w:rPr>
                <w:rFonts w:cstheme="minorHAnsi"/>
                <w:sz w:val="20"/>
                <w:szCs w:val="20"/>
              </w:rPr>
            </w:pPr>
            <w:r w:rsidRPr="00855AFD">
              <w:rPr>
                <w:rFonts w:cstheme="minorHAnsi"/>
                <w:sz w:val="20"/>
                <w:szCs w:val="20"/>
              </w:rPr>
              <w:t>Non-Restudies (Advisory A &amp; Updated AE)</w:t>
            </w:r>
          </w:p>
        </w:tc>
      </w:tr>
      <w:tr w:rsidR="007C321B" w:rsidTr="004D38BF">
        <w:tc>
          <w:tcPr>
            <w:tcW w:w="4225" w:type="dxa"/>
            <w:shd w:val="clear" w:color="auto" w:fill="F9EBCB" w:themeFill="accent2" w:themeFillTint="33"/>
          </w:tcPr>
          <w:p w:rsidR="007C321B" w:rsidRPr="00855AFD" w:rsidRDefault="007C321B" w:rsidP="006900E8">
            <w:pPr>
              <w:pStyle w:val="ListParagraph"/>
              <w:numPr>
                <w:ilvl w:val="0"/>
                <w:numId w:val="7"/>
              </w:numPr>
              <w:spacing w:after="0" w:line="240" w:lineRule="auto"/>
              <w:rPr>
                <w:rFonts w:cstheme="minorHAnsi"/>
                <w:sz w:val="20"/>
                <w:szCs w:val="20"/>
              </w:rPr>
            </w:pPr>
            <w:bookmarkStart w:id="27" w:name="_Hlk33729282"/>
            <w:bookmarkEnd w:id="26"/>
            <w:r w:rsidRPr="00855AFD">
              <w:rPr>
                <w:rFonts w:cstheme="minorHAnsi"/>
                <w:sz w:val="20"/>
                <w:szCs w:val="20"/>
              </w:rPr>
              <w:t>Future Map Conditions for Buildings</w:t>
            </w:r>
          </w:p>
          <w:p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Map In SFHA</w:t>
            </w:r>
          </w:p>
          <w:p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Map Out SFHA</w:t>
            </w:r>
          </w:p>
          <w:p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No Change</w:t>
            </w:r>
          </w:p>
          <w:p w:rsidR="007C321B" w:rsidRPr="00855AFD" w:rsidRDefault="007C321B" w:rsidP="006900E8">
            <w:pPr>
              <w:pStyle w:val="ListParagraph"/>
              <w:numPr>
                <w:ilvl w:val="1"/>
                <w:numId w:val="7"/>
              </w:numPr>
              <w:spacing w:after="0" w:line="240" w:lineRule="auto"/>
              <w:ind w:left="792"/>
              <w:rPr>
                <w:rFonts w:cstheme="minorHAnsi"/>
                <w:sz w:val="20"/>
                <w:szCs w:val="20"/>
              </w:rPr>
            </w:pPr>
            <w:r w:rsidRPr="00855AFD">
              <w:rPr>
                <w:rFonts w:cstheme="minorHAnsi"/>
                <w:sz w:val="20"/>
                <w:szCs w:val="20"/>
              </w:rPr>
              <w:t>Floodway</w:t>
            </w:r>
          </w:p>
          <w:p w:rsidR="007C321B" w:rsidRPr="00855AFD" w:rsidRDefault="007C321B" w:rsidP="006900E8">
            <w:pPr>
              <w:pStyle w:val="ListParagraph"/>
              <w:numPr>
                <w:ilvl w:val="0"/>
                <w:numId w:val="7"/>
              </w:numPr>
              <w:spacing w:after="0" w:line="240" w:lineRule="auto"/>
              <w:rPr>
                <w:rFonts w:cstheme="minorHAnsi"/>
                <w:sz w:val="20"/>
                <w:szCs w:val="20"/>
              </w:rPr>
            </w:pPr>
            <w:r w:rsidRPr="00855AFD">
              <w:rPr>
                <w:rFonts w:cstheme="minorHAnsi"/>
                <w:sz w:val="20"/>
                <w:szCs w:val="20"/>
              </w:rPr>
              <w:t>LOMA Verified</w:t>
            </w:r>
          </w:p>
        </w:tc>
        <w:tc>
          <w:tcPr>
            <w:tcW w:w="2250" w:type="dxa"/>
            <w:shd w:val="clear" w:color="auto" w:fill="F9EBCB" w:themeFill="accent2" w:themeFillTint="33"/>
          </w:tcPr>
          <w:p w:rsidR="007C321B" w:rsidRPr="00855AFD" w:rsidRDefault="007C321B" w:rsidP="007C321B">
            <w:pPr>
              <w:rPr>
                <w:rFonts w:cstheme="minorHAnsi"/>
                <w:sz w:val="20"/>
                <w:szCs w:val="20"/>
              </w:rPr>
            </w:pPr>
            <w:r w:rsidRPr="00855AFD">
              <w:rPr>
                <w:rFonts w:cstheme="minorHAnsi"/>
                <w:sz w:val="20"/>
                <w:szCs w:val="20"/>
              </w:rPr>
              <w:t>Building-Level Risk</w:t>
            </w:r>
          </w:p>
          <w:p w:rsidR="007C321B" w:rsidRPr="00855AFD" w:rsidRDefault="007C321B" w:rsidP="007C321B">
            <w:pPr>
              <w:rPr>
                <w:rFonts w:cstheme="minorHAnsi"/>
                <w:sz w:val="20"/>
                <w:szCs w:val="20"/>
              </w:rPr>
            </w:pPr>
          </w:p>
          <w:p w:rsidR="007C321B" w:rsidRPr="00855AFD" w:rsidRDefault="007C321B" w:rsidP="007C321B">
            <w:pPr>
              <w:rPr>
                <w:rFonts w:cstheme="minorHAnsi"/>
                <w:sz w:val="20"/>
                <w:szCs w:val="20"/>
              </w:rPr>
            </w:pPr>
            <w:r w:rsidRPr="00855AFD">
              <w:rPr>
                <w:rFonts w:cstheme="minorHAnsi"/>
                <w:sz w:val="20"/>
                <w:szCs w:val="20"/>
              </w:rPr>
              <w:t>Flood Zone Changes</w:t>
            </w:r>
          </w:p>
          <w:p w:rsidR="007C321B" w:rsidRPr="00855AFD" w:rsidRDefault="007C321B" w:rsidP="007C321B">
            <w:pPr>
              <w:rPr>
                <w:rFonts w:cstheme="minorHAnsi"/>
                <w:sz w:val="20"/>
                <w:szCs w:val="20"/>
              </w:rPr>
            </w:pPr>
          </w:p>
        </w:tc>
        <w:tc>
          <w:tcPr>
            <w:tcW w:w="3240" w:type="dxa"/>
            <w:shd w:val="clear" w:color="auto" w:fill="F9EBCB" w:themeFill="accent2" w:themeFillTint="33"/>
          </w:tcPr>
          <w:p w:rsidR="007C321B" w:rsidRPr="00855AFD" w:rsidRDefault="007C321B" w:rsidP="007C321B">
            <w:pPr>
              <w:rPr>
                <w:rFonts w:cstheme="minorHAnsi"/>
                <w:sz w:val="20"/>
                <w:szCs w:val="20"/>
              </w:rPr>
            </w:pPr>
            <w:r w:rsidRPr="00855AFD">
              <w:rPr>
                <w:rFonts w:cstheme="minorHAnsi"/>
                <w:sz w:val="20"/>
                <w:szCs w:val="20"/>
              </w:rPr>
              <w:t>Enhanced Building Inventory, Non-Regulatory Flood Zones</w:t>
            </w:r>
          </w:p>
        </w:tc>
      </w:tr>
      <w:tr w:rsidR="007C321B" w:rsidTr="004D38BF">
        <w:tc>
          <w:tcPr>
            <w:tcW w:w="4225" w:type="dxa"/>
            <w:shd w:val="clear" w:color="auto" w:fill="F9EBCB" w:themeFill="accent2" w:themeFillTint="33"/>
          </w:tcPr>
          <w:p w:rsidR="007C321B" w:rsidRPr="004A415C" w:rsidRDefault="007C321B" w:rsidP="006900E8">
            <w:pPr>
              <w:pStyle w:val="ListParagraph"/>
              <w:numPr>
                <w:ilvl w:val="0"/>
                <w:numId w:val="5"/>
              </w:numPr>
              <w:spacing w:after="0" w:line="240" w:lineRule="auto"/>
              <w:rPr>
                <w:rFonts w:cstheme="minorHAnsi"/>
                <w:color w:val="000000" w:themeColor="text1"/>
                <w:sz w:val="20"/>
                <w:szCs w:val="20"/>
              </w:rPr>
            </w:pPr>
            <w:r w:rsidRPr="004A415C">
              <w:rPr>
                <w:rFonts w:cstheme="minorHAnsi"/>
                <w:color w:val="000000" w:themeColor="text1"/>
                <w:sz w:val="20"/>
                <w:szCs w:val="20"/>
              </w:rPr>
              <w:t>Buildings Exposed to Flooding</w:t>
            </w:r>
          </w:p>
          <w:p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Building Replacement Cost</w:t>
            </w:r>
          </w:p>
          <w:p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Essential Facilities</w:t>
            </w:r>
          </w:p>
          <w:p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Community Assets</w:t>
            </w:r>
          </w:p>
          <w:p w:rsidR="007C321B" w:rsidRPr="004A415C" w:rsidRDefault="007C321B" w:rsidP="006900E8">
            <w:pPr>
              <w:pStyle w:val="ListParagraph"/>
              <w:numPr>
                <w:ilvl w:val="1"/>
                <w:numId w:val="5"/>
              </w:numPr>
              <w:spacing w:after="0" w:line="240" w:lineRule="auto"/>
              <w:ind w:left="702"/>
              <w:rPr>
                <w:rFonts w:cstheme="minorHAnsi"/>
                <w:color w:val="000000" w:themeColor="text1"/>
                <w:sz w:val="20"/>
                <w:szCs w:val="20"/>
              </w:rPr>
            </w:pPr>
            <w:r w:rsidRPr="004A415C">
              <w:rPr>
                <w:rFonts w:cstheme="minorHAnsi"/>
                <w:color w:val="000000" w:themeColor="text1"/>
                <w:sz w:val="20"/>
                <w:szCs w:val="20"/>
              </w:rPr>
              <w:t>Historical Structures</w:t>
            </w:r>
          </w:p>
        </w:tc>
        <w:tc>
          <w:tcPr>
            <w:tcW w:w="2250" w:type="dxa"/>
            <w:shd w:val="clear" w:color="auto" w:fill="F9EBCB" w:themeFill="accent2" w:themeFillTint="33"/>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Building-Level Risk</w:t>
            </w:r>
          </w:p>
        </w:tc>
        <w:tc>
          <w:tcPr>
            <w:tcW w:w="3240" w:type="dxa"/>
            <w:shd w:val="clear" w:color="auto" w:fill="F9EBCB" w:themeFill="accent2" w:themeFillTint="33"/>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Inventories of buildings and facilities</w:t>
            </w:r>
          </w:p>
        </w:tc>
      </w:tr>
      <w:tr w:rsidR="007C321B" w:rsidTr="004D38BF">
        <w:trPr>
          <w:trHeight w:val="719"/>
        </w:trPr>
        <w:tc>
          <w:tcPr>
            <w:tcW w:w="4225" w:type="dxa"/>
            <w:shd w:val="clear" w:color="auto" w:fill="F9EBCB" w:themeFill="accent2" w:themeFillTint="33"/>
          </w:tcPr>
          <w:p w:rsidR="007C321B" w:rsidRPr="004A415C" w:rsidRDefault="007C321B" w:rsidP="006900E8">
            <w:pPr>
              <w:pStyle w:val="ListParagraph"/>
              <w:numPr>
                <w:ilvl w:val="0"/>
                <w:numId w:val="5"/>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 xml:space="preserve">New Development &amp; Basement </w:t>
            </w:r>
          </w:p>
          <w:p w:rsidR="007C321B" w:rsidRPr="004A415C" w:rsidRDefault="007C321B" w:rsidP="006900E8">
            <w:pPr>
              <w:pStyle w:val="ListParagraph"/>
              <w:numPr>
                <w:ilvl w:val="1"/>
                <w:numId w:val="5"/>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Pre-FIRM / Post-FIRM</w:t>
            </w:r>
          </w:p>
          <w:p w:rsidR="007C321B" w:rsidRPr="004A415C" w:rsidRDefault="007C321B" w:rsidP="006900E8">
            <w:pPr>
              <w:pStyle w:val="ListParagraph"/>
              <w:numPr>
                <w:ilvl w:val="1"/>
                <w:numId w:val="5"/>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Basement (First Floor Height)</w:t>
            </w:r>
          </w:p>
        </w:tc>
        <w:tc>
          <w:tcPr>
            <w:tcW w:w="2250" w:type="dxa"/>
            <w:shd w:val="clear" w:color="auto" w:fill="F9EBCB" w:themeFill="accent2" w:themeFillTint="33"/>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Building-Level Risk</w:t>
            </w:r>
          </w:p>
        </w:tc>
        <w:tc>
          <w:tcPr>
            <w:tcW w:w="3240" w:type="dxa"/>
            <w:shd w:val="clear" w:color="auto" w:fill="F9EBCB" w:themeFill="accent2" w:themeFillTint="33"/>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WV Building Inventory, WV Assessment Records, Building Pictures</w:t>
            </w:r>
          </w:p>
        </w:tc>
      </w:tr>
      <w:tr w:rsidR="007C321B" w:rsidTr="004D38BF">
        <w:trPr>
          <w:trHeight w:val="989"/>
        </w:trPr>
        <w:tc>
          <w:tcPr>
            <w:tcW w:w="4225" w:type="dxa"/>
            <w:shd w:val="clear" w:color="auto" w:fill="F9EBCB" w:themeFill="accent2" w:themeFillTint="33"/>
          </w:tcPr>
          <w:p w:rsidR="007C321B" w:rsidRPr="004A415C" w:rsidRDefault="007C321B" w:rsidP="006900E8">
            <w:pPr>
              <w:pStyle w:val="ListParagraph"/>
              <w:numPr>
                <w:ilvl w:val="0"/>
                <w:numId w:val="6"/>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Building Damage Loss Estimate (Hazus)</w:t>
            </w:r>
          </w:p>
          <w:p w:rsidR="007C321B" w:rsidRPr="004A415C" w:rsidRDefault="007C321B" w:rsidP="006900E8">
            <w:pPr>
              <w:pStyle w:val="ListParagraph"/>
              <w:numPr>
                <w:ilvl w:val="1"/>
                <w:numId w:val="6"/>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Percent Damage</w:t>
            </w:r>
          </w:p>
          <w:p w:rsidR="007C321B" w:rsidRPr="004A415C" w:rsidRDefault="007C321B" w:rsidP="006900E8">
            <w:pPr>
              <w:pStyle w:val="ListParagraph"/>
              <w:numPr>
                <w:ilvl w:val="1"/>
                <w:numId w:val="6"/>
              </w:numPr>
              <w:autoSpaceDE w:val="0"/>
              <w:autoSpaceDN w:val="0"/>
              <w:adjustRightInd w:val="0"/>
              <w:spacing w:after="0" w:line="240" w:lineRule="auto"/>
              <w:ind w:left="702"/>
              <w:rPr>
                <w:rFonts w:cstheme="minorHAnsi"/>
                <w:color w:val="000000" w:themeColor="text1"/>
                <w:sz w:val="20"/>
                <w:szCs w:val="20"/>
              </w:rPr>
            </w:pPr>
            <w:r w:rsidRPr="004A415C">
              <w:rPr>
                <w:rFonts w:cstheme="minorHAnsi"/>
                <w:color w:val="000000" w:themeColor="text1"/>
                <w:sz w:val="20"/>
                <w:szCs w:val="20"/>
              </w:rPr>
              <w:t>Dollars Loss</w:t>
            </w:r>
          </w:p>
        </w:tc>
        <w:tc>
          <w:tcPr>
            <w:tcW w:w="2250" w:type="dxa"/>
            <w:shd w:val="clear" w:color="auto" w:fill="F9EBCB" w:themeFill="accent2" w:themeFillTint="33"/>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Building-Level Risk</w:t>
            </w:r>
          </w:p>
        </w:tc>
        <w:tc>
          <w:tcPr>
            <w:tcW w:w="3240" w:type="dxa"/>
            <w:shd w:val="clear" w:color="auto" w:fill="F9EBCB" w:themeFill="accent2" w:themeFillTint="33"/>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Hazus Level 2 Analysis, Enhanced Building Inventory (or UDF), Depth Grids</w:t>
            </w:r>
          </w:p>
        </w:tc>
      </w:tr>
      <w:bookmarkEnd w:id="27"/>
      <w:tr w:rsidR="007C321B" w:rsidTr="007C321B">
        <w:trPr>
          <w:trHeight w:val="296"/>
        </w:trPr>
        <w:tc>
          <w:tcPr>
            <w:tcW w:w="9715" w:type="dxa"/>
            <w:gridSpan w:val="3"/>
            <w:shd w:val="clear" w:color="auto" w:fill="auto"/>
          </w:tcPr>
          <w:p w:rsidR="007C321B" w:rsidRPr="00855AFD" w:rsidRDefault="007C321B" w:rsidP="007C321B">
            <w:pPr>
              <w:jc w:val="center"/>
              <w:rPr>
                <w:rFonts w:cstheme="minorHAnsi"/>
                <w:sz w:val="20"/>
                <w:szCs w:val="20"/>
              </w:rPr>
            </w:pPr>
            <w:r w:rsidRPr="00855AFD">
              <w:rPr>
                <w:rFonts w:cstheme="minorHAnsi"/>
                <w:sz w:val="20"/>
                <w:szCs w:val="20"/>
              </w:rPr>
              <w:t>No Specific Flood Probability Occurrence</w:t>
            </w:r>
          </w:p>
        </w:tc>
      </w:tr>
      <w:tr w:rsidR="007C321B" w:rsidTr="004D38BF">
        <w:trPr>
          <w:trHeight w:val="296"/>
        </w:trPr>
        <w:tc>
          <w:tcPr>
            <w:tcW w:w="4225" w:type="dxa"/>
            <w:shd w:val="clear" w:color="auto" w:fill="FEFCD0"/>
          </w:tcPr>
          <w:p w:rsidR="007C321B" w:rsidRPr="004A415C" w:rsidRDefault="007C321B" w:rsidP="006900E8">
            <w:pPr>
              <w:pStyle w:val="ListParagraph"/>
              <w:numPr>
                <w:ilvl w:val="0"/>
                <w:numId w:val="6"/>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Levees (FEMA/USACE)</w:t>
            </w:r>
          </w:p>
          <w:p w:rsidR="007C321B" w:rsidRPr="004A415C" w:rsidRDefault="007C321B" w:rsidP="006900E8">
            <w:pPr>
              <w:pStyle w:val="ListParagraph"/>
              <w:numPr>
                <w:ilvl w:val="0"/>
                <w:numId w:val="6"/>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Dams (NID)</w:t>
            </w:r>
          </w:p>
        </w:tc>
        <w:tc>
          <w:tcPr>
            <w:tcW w:w="2250" w:type="dxa"/>
            <w:shd w:val="clear" w:color="auto" w:fill="FEFCD0"/>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Critical Structures</w:t>
            </w:r>
          </w:p>
        </w:tc>
        <w:tc>
          <w:tcPr>
            <w:tcW w:w="3240" w:type="dxa"/>
            <w:shd w:val="clear" w:color="auto" w:fill="FEFCD0"/>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FEMA / USACE</w:t>
            </w:r>
          </w:p>
        </w:tc>
      </w:tr>
      <w:tr w:rsidR="007C321B" w:rsidTr="007C321B">
        <w:trPr>
          <w:trHeight w:val="323"/>
        </w:trPr>
        <w:tc>
          <w:tcPr>
            <w:tcW w:w="4225" w:type="dxa"/>
            <w:shd w:val="clear" w:color="auto" w:fill="F2F2F2" w:themeFill="background1" w:themeFillShade="F2"/>
          </w:tcPr>
          <w:p w:rsidR="007C321B" w:rsidRPr="004A415C" w:rsidRDefault="007C321B" w:rsidP="006900E8">
            <w:pPr>
              <w:pStyle w:val="ListParagraph"/>
              <w:numPr>
                <w:ilvl w:val="0"/>
                <w:numId w:val="11"/>
              </w:numPr>
              <w:autoSpaceDE w:val="0"/>
              <w:autoSpaceDN w:val="0"/>
              <w:adjustRightInd w:val="0"/>
              <w:spacing w:after="0" w:line="240" w:lineRule="auto"/>
              <w:rPr>
                <w:rFonts w:cstheme="minorHAnsi"/>
                <w:color w:val="000000" w:themeColor="text1"/>
                <w:sz w:val="20"/>
                <w:szCs w:val="20"/>
              </w:rPr>
            </w:pPr>
            <w:r w:rsidRPr="004A415C">
              <w:rPr>
                <w:rFonts w:cstheme="minorHAnsi"/>
                <w:color w:val="000000" w:themeColor="text1"/>
                <w:sz w:val="20"/>
                <w:szCs w:val="20"/>
              </w:rPr>
              <w:t>Landslides</w:t>
            </w:r>
          </w:p>
        </w:tc>
        <w:tc>
          <w:tcPr>
            <w:tcW w:w="2250" w:type="dxa"/>
            <w:shd w:val="clear" w:color="auto" w:fill="F2F2F2" w:themeFill="background1" w:themeFillShade="F2"/>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Other Natural Hazards</w:t>
            </w:r>
          </w:p>
        </w:tc>
        <w:tc>
          <w:tcPr>
            <w:tcW w:w="3240" w:type="dxa"/>
            <w:shd w:val="clear" w:color="auto" w:fill="F2F2F2" w:themeFill="background1" w:themeFillShade="F2"/>
          </w:tcPr>
          <w:p w:rsidR="007C321B" w:rsidRPr="004A415C" w:rsidRDefault="007C321B" w:rsidP="007C321B">
            <w:pPr>
              <w:rPr>
                <w:rFonts w:cstheme="minorHAnsi"/>
                <w:color w:val="000000" w:themeColor="text1"/>
                <w:sz w:val="20"/>
                <w:szCs w:val="20"/>
              </w:rPr>
            </w:pPr>
            <w:r w:rsidRPr="004A415C">
              <w:rPr>
                <w:rFonts w:cstheme="minorHAnsi"/>
                <w:color w:val="000000" w:themeColor="text1"/>
                <w:sz w:val="20"/>
                <w:szCs w:val="20"/>
              </w:rPr>
              <w:t>WV Landslide Inventory, LiDAR-Derived DEMs</w:t>
            </w:r>
          </w:p>
        </w:tc>
      </w:tr>
    </w:tbl>
    <w:p w:rsidR="007C321B" w:rsidRDefault="007C321B" w:rsidP="007C321B">
      <w:pPr>
        <w:rPr>
          <w:rFonts w:ascii="Calibri" w:eastAsia="Times New Roman" w:hAnsi="Calibri" w:cs="Calibri"/>
          <w:b/>
          <w:color w:val="000000"/>
          <w:szCs w:val="20"/>
        </w:rPr>
      </w:pPr>
    </w:p>
    <w:p w:rsidR="007C321B" w:rsidRDefault="007C321B" w:rsidP="007C321B">
      <w:pPr>
        <w:rPr>
          <w:rFonts w:ascii="Calibri" w:eastAsia="Times New Roman" w:hAnsi="Calibri" w:cs="Calibri"/>
          <w:b/>
          <w:color w:val="000000"/>
          <w:szCs w:val="20"/>
        </w:rPr>
      </w:pPr>
    </w:p>
    <w:p w:rsidR="007C321B" w:rsidRDefault="007C321B" w:rsidP="007C321B">
      <w:pPr>
        <w:rPr>
          <w:rFonts w:ascii="Calibri" w:eastAsia="Times New Roman" w:hAnsi="Calibri" w:cs="Calibri"/>
          <w:b/>
          <w:color w:val="000000"/>
          <w:szCs w:val="20"/>
        </w:rPr>
      </w:pPr>
    </w:p>
    <w:p w:rsidR="007C321B" w:rsidRDefault="007C321B" w:rsidP="007C321B">
      <w:pPr>
        <w:rPr>
          <w:rFonts w:ascii="Calibri" w:eastAsia="Times New Roman" w:hAnsi="Calibri" w:cs="Calibri"/>
          <w:b/>
          <w:color w:val="000000"/>
          <w:szCs w:val="20"/>
        </w:rPr>
      </w:pPr>
    </w:p>
    <w:p w:rsidR="00921A9C" w:rsidRDefault="00921A9C" w:rsidP="00921A9C">
      <w:pPr>
        <w:autoSpaceDE w:val="0"/>
        <w:autoSpaceDN w:val="0"/>
        <w:adjustRightInd w:val="0"/>
        <w:spacing w:after="0" w:line="240" w:lineRule="auto"/>
      </w:pPr>
    </w:p>
    <w:p w:rsidR="00921A9C" w:rsidRDefault="00921A9C">
      <w:pPr>
        <w:rPr>
          <w:rStyle w:val="Heading3Char"/>
        </w:rPr>
      </w:pPr>
      <w:r>
        <w:rPr>
          <w:rStyle w:val="Heading3Char"/>
        </w:rPr>
        <w:br w:type="page"/>
      </w:r>
    </w:p>
    <w:p w:rsidR="00921A9C" w:rsidRDefault="00921A9C" w:rsidP="00921A9C">
      <w:pPr>
        <w:pStyle w:val="Heading3"/>
        <w:rPr>
          <w:rFonts w:ascii="Calibri" w:eastAsia="Times New Roman" w:hAnsi="Calibri" w:cs="Calibri"/>
          <w:b/>
          <w:color w:val="000000"/>
          <w:szCs w:val="20"/>
        </w:rPr>
      </w:pPr>
      <w:bookmarkStart w:id="28" w:name="_Toc34388250"/>
      <w:r>
        <w:rPr>
          <w:noProof/>
        </w:rPr>
        <w:lastRenderedPageBreak/>
        <w:drawing>
          <wp:anchor distT="0" distB="0" distL="114300" distR="114300" simplePos="0" relativeHeight="251702272" behindDoc="1" locked="0" layoutInCell="1" allowOverlap="1" wp14:anchorId="305378EF" wp14:editId="0D533C99">
            <wp:simplePos x="0" y="0"/>
            <wp:positionH relativeFrom="column">
              <wp:posOffset>-59690</wp:posOffset>
            </wp:positionH>
            <wp:positionV relativeFrom="paragraph">
              <wp:posOffset>189865</wp:posOffset>
            </wp:positionV>
            <wp:extent cx="5324475" cy="4058920"/>
            <wp:effectExtent l="19050" t="19050" r="28575" b="17780"/>
            <wp:wrapTight wrapText="bothSides">
              <wp:wrapPolygon edited="0">
                <wp:start x="-77" y="-101"/>
                <wp:lineTo x="-77" y="21593"/>
                <wp:lineTo x="21639" y="21593"/>
                <wp:lineTo x="21639" y="-101"/>
                <wp:lineTo x="-77" y="-10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24475" cy="4058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1A9C">
        <w:t xml:space="preserve">Figure 2.  </w:t>
      </w:r>
      <w:r>
        <w:t xml:space="preserve">Flood Risk Products: Flood Risk Grids, Flood Zone Changes, </w:t>
      </w:r>
      <w:r w:rsidR="000B1CA6">
        <w:t>Risk Per Structure</w:t>
      </w:r>
      <w:bookmarkEnd w:id="28"/>
      <w:r>
        <w:rPr>
          <w:rFonts w:ascii="Calibri" w:eastAsia="Times New Roman" w:hAnsi="Calibri" w:cs="Calibri"/>
          <w:b/>
          <w:color w:val="000000"/>
          <w:szCs w:val="20"/>
        </w:rPr>
        <w:t xml:space="preserve"> </w:t>
      </w: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rPr>
          <w:rFonts w:ascii="Calibri" w:eastAsia="Times New Roman" w:hAnsi="Calibri" w:cs="Calibri"/>
          <w:b/>
          <w:color w:val="000000"/>
          <w:szCs w:val="20"/>
        </w:rPr>
      </w:pPr>
    </w:p>
    <w:p w:rsidR="00921A9C" w:rsidRDefault="00921A9C" w:rsidP="00921A9C">
      <w:pPr>
        <w:pStyle w:val="Heading3"/>
      </w:pPr>
    </w:p>
    <w:p w:rsidR="00921A9C" w:rsidRDefault="00921A9C" w:rsidP="00921A9C">
      <w:pPr>
        <w:pStyle w:val="Heading3"/>
      </w:pPr>
    </w:p>
    <w:p w:rsidR="00921A9C" w:rsidRDefault="00921A9C">
      <w:r>
        <w:rPr>
          <w:noProof/>
        </w:rPr>
        <w:drawing>
          <wp:anchor distT="0" distB="0" distL="114300" distR="114300" simplePos="0" relativeHeight="251701248" behindDoc="0" locked="0" layoutInCell="1" allowOverlap="1" wp14:anchorId="4D486FE8" wp14:editId="6EF9E534">
            <wp:simplePos x="0" y="0"/>
            <wp:positionH relativeFrom="column">
              <wp:posOffset>-66675</wp:posOffset>
            </wp:positionH>
            <wp:positionV relativeFrom="paragraph">
              <wp:posOffset>925195</wp:posOffset>
            </wp:positionV>
            <wp:extent cx="5324475" cy="4002563"/>
            <wp:effectExtent l="19050" t="19050" r="9525" b="171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6081" cy="40037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rsidR="009B5A38" w:rsidRPr="009B5A38" w:rsidRDefault="009B5A38" w:rsidP="009B5A38">
      <w:pPr>
        <w:pStyle w:val="Heading3"/>
      </w:pPr>
      <w:bookmarkStart w:id="29" w:name="_Toc34388251"/>
      <w:r>
        <w:rPr>
          <w:noProof/>
        </w:rPr>
        <w:lastRenderedPageBreak/>
        <w:drawing>
          <wp:anchor distT="0" distB="0" distL="114300" distR="114300" simplePos="0" relativeHeight="251708416" behindDoc="1" locked="0" layoutInCell="1" allowOverlap="1" wp14:anchorId="03DAF880" wp14:editId="027BFCAD">
            <wp:simplePos x="0" y="0"/>
            <wp:positionH relativeFrom="column">
              <wp:posOffset>0</wp:posOffset>
            </wp:positionH>
            <wp:positionV relativeFrom="paragraph">
              <wp:posOffset>247015</wp:posOffset>
            </wp:positionV>
            <wp:extent cx="5152575" cy="3857235"/>
            <wp:effectExtent l="19050" t="19050" r="10160" b="101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52575" cy="3857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30" w:name="_Toc34332522"/>
      <w:r w:rsidRPr="009B5A38">
        <w:t>Figure 3.  Building-Level Flood Risk Products</w:t>
      </w:r>
      <w:bookmarkEnd w:id="30"/>
      <w:bookmarkEnd w:id="29"/>
    </w:p>
    <w:p w:rsidR="009B5A38" w:rsidRDefault="009B5A38">
      <w:r>
        <w:rPr>
          <w:noProof/>
        </w:rPr>
        <w:drawing>
          <wp:anchor distT="0" distB="0" distL="114300" distR="114300" simplePos="0" relativeHeight="251710464" behindDoc="1" locked="0" layoutInCell="1" allowOverlap="1" wp14:anchorId="699938D6" wp14:editId="3626483B">
            <wp:simplePos x="0" y="0"/>
            <wp:positionH relativeFrom="column">
              <wp:posOffset>-635</wp:posOffset>
            </wp:positionH>
            <wp:positionV relativeFrom="paragraph">
              <wp:posOffset>3917315</wp:posOffset>
            </wp:positionV>
            <wp:extent cx="5191125" cy="3909060"/>
            <wp:effectExtent l="19050" t="19050" r="28575" b="15240"/>
            <wp:wrapTight wrapText="bothSides">
              <wp:wrapPolygon edited="0">
                <wp:start x="-79" y="-105"/>
                <wp:lineTo x="-79" y="21579"/>
                <wp:lineTo x="21640" y="21579"/>
                <wp:lineTo x="21640" y="-105"/>
                <wp:lineTo x="-79" y="-105"/>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91125" cy="3909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rsidR="000B1CA6" w:rsidRDefault="000B1CA6" w:rsidP="000B1CA6">
      <w:pPr>
        <w:pStyle w:val="Heading3"/>
        <w:rPr>
          <w:rFonts w:ascii="Calibri" w:eastAsia="Times New Roman" w:hAnsi="Calibri" w:cs="Calibri"/>
          <w:b/>
          <w:color w:val="000000"/>
          <w:szCs w:val="20"/>
        </w:rPr>
      </w:pPr>
      <w:bookmarkStart w:id="31" w:name="_Toc34388252"/>
      <w:r w:rsidRPr="003F2DAC">
        <w:rPr>
          <w:noProof/>
          <w:highlight w:val="yellow"/>
        </w:rPr>
        <w:lastRenderedPageBreak/>
        <w:drawing>
          <wp:anchor distT="0" distB="0" distL="114300" distR="114300" simplePos="0" relativeHeight="251697152" behindDoc="1" locked="0" layoutInCell="1" allowOverlap="1" wp14:anchorId="75ADCBC8" wp14:editId="276FBB62">
            <wp:simplePos x="0" y="0"/>
            <wp:positionH relativeFrom="column">
              <wp:posOffset>66675</wp:posOffset>
            </wp:positionH>
            <wp:positionV relativeFrom="paragraph">
              <wp:posOffset>285750</wp:posOffset>
            </wp:positionV>
            <wp:extent cx="5317490" cy="3905250"/>
            <wp:effectExtent l="19050" t="19050" r="16510" b="19050"/>
            <wp:wrapTight wrapText="bothSides">
              <wp:wrapPolygon edited="0">
                <wp:start x="-77" y="-105"/>
                <wp:lineTo x="-77" y="21600"/>
                <wp:lineTo x="21590" y="21600"/>
                <wp:lineTo x="21590" y="-105"/>
                <wp:lineTo x="-77" y="-105"/>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17490" cy="3905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1A9C">
        <w:t xml:space="preserve">Figure </w:t>
      </w:r>
      <w:r>
        <w:t>4</w:t>
      </w:r>
      <w:r w:rsidRPr="00921A9C">
        <w:t xml:space="preserve">.  </w:t>
      </w:r>
      <w:r>
        <w:t xml:space="preserve">Building-Level Flood Risk Assessments </w:t>
      </w:r>
      <w:r w:rsidR="00595C50">
        <w:t>P</w:t>
      </w:r>
      <w:r>
        <w:t>ublished to WV Flood Tool</w:t>
      </w:r>
      <w:bookmarkEnd w:id="31"/>
      <w:r>
        <w:t xml:space="preserve"> </w:t>
      </w:r>
    </w:p>
    <w:p w:rsidR="003F2DAC" w:rsidRDefault="000B1CA6">
      <w:pPr>
        <w:rPr>
          <w:rFonts w:eastAsia="Times New Roman"/>
        </w:rPr>
      </w:pPr>
      <w:r>
        <w:rPr>
          <w:noProof/>
        </w:rPr>
        <w:drawing>
          <wp:anchor distT="0" distB="0" distL="114300" distR="114300" simplePos="0" relativeHeight="251706368" behindDoc="0" locked="0" layoutInCell="1" allowOverlap="1" wp14:anchorId="04745EAB" wp14:editId="7F608535">
            <wp:simplePos x="0" y="0"/>
            <wp:positionH relativeFrom="column">
              <wp:posOffset>-9525</wp:posOffset>
            </wp:positionH>
            <wp:positionV relativeFrom="paragraph">
              <wp:posOffset>4488815</wp:posOffset>
            </wp:positionV>
            <wp:extent cx="5473065" cy="3328035"/>
            <wp:effectExtent l="19050" t="19050" r="13335" b="24765"/>
            <wp:wrapThrough wrapText="bothSides">
              <wp:wrapPolygon edited="0">
                <wp:start x="-75" y="-124"/>
                <wp:lineTo x="-75" y="21637"/>
                <wp:lineTo x="21577" y="21637"/>
                <wp:lineTo x="21577" y="-124"/>
                <wp:lineTo x="-75" y="-124"/>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73065" cy="3328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2DAC">
        <w:rPr>
          <w:rFonts w:eastAsia="Times New Roman"/>
        </w:rPr>
        <w:t xml:space="preserve"> </w:t>
      </w:r>
      <w:r w:rsidR="003F2DAC">
        <w:rPr>
          <w:rFonts w:eastAsia="Times New Roman"/>
        </w:rPr>
        <w:br w:type="page"/>
      </w:r>
    </w:p>
    <w:p w:rsidR="003F2DAC" w:rsidRDefault="000B1CA6" w:rsidP="0084432D">
      <w:pPr>
        <w:pStyle w:val="Heading3"/>
        <w:rPr>
          <w:rFonts w:eastAsia="Times New Roman"/>
        </w:rPr>
      </w:pPr>
      <w:bookmarkStart w:id="32" w:name="_Toc34388253"/>
      <w:r>
        <w:rPr>
          <w:noProof/>
        </w:rPr>
        <w:lastRenderedPageBreak/>
        <w:drawing>
          <wp:anchor distT="0" distB="0" distL="114300" distR="114300" simplePos="0" relativeHeight="251699200" behindDoc="1" locked="0" layoutInCell="1" allowOverlap="1" wp14:anchorId="34E34036" wp14:editId="0D231822">
            <wp:simplePos x="0" y="0"/>
            <wp:positionH relativeFrom="column">
              <wp:posOffset>419100</wp:posOffset>
            </wp:positionH>
            <wp:positionV relativeFrom="paragraph">
              <wp:posOffset>257175</wp:posOffset>
            </wp:positionV>
            <wp:extent cx="4989830" cy="3724275"/>
            <wp:effectExtent l="19050" t="19050" r="20320" b="28575"/>
            <wp:wrapTight wrapText="bothSides">
              <wp:wrapPolygon edited="0">
                <wp:start x="-82" y="-110"/>
                <wp:lineTo x="-82" y="21655"/>
                <wp:lineTo x="21605" y="21655"/>
                <wp:lineTo x="21605" y="-110"/>
                <wp:lineTo x="-82" y="-11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989830" cy="3724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F2DAC">
        <w:rPr>
          <w:noProof/>
        </w:rPr>
        <w:drawing>
          <wp:anchor distT="0" distB="0" distL="114300" distR="114300" simplePos="0" relativeHeight="251698176" behindDoc="1" locked="0" layoutInCell="1" allowOverlap="1" wp14:anchorId="166192E4" wp14:editId="384CF3B2">
            <wp:simplePos x="0" y="0"/>
            <wp:positionH relativeFrom="column">
              <wp:posOffset>418465</wp:posOffset>
            </wp:positionH>
            <wp:positionV relativeFrom="paragraph">
              <wp:posOffset>4219575</wp:posOffset>
            </wp:positionV>
            <wp:extent cx="5071745" cy="3761740"/>
            <wp:effectExtent l="19050" t="19050" r="14605" b="10160"/>
            <wp:wrapTight wrapText="bothSides">
              <wp:wrapPolygon edited="0">
                <wp:start x="-81" y="-109"/>
                <wp:lineTo x="-81" y="21549"/>
                <wp:lineTo x="21581" y="21549"/>
                <wp:lineTo x="21581" y="-109"/>
                <wp:lineTo x="-81" y="-109"/>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71745" cy="37617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21A9C">
        <w:t xml:space="preserve">Figure </w:t>
      </w:r>
      <w:r>
        <w:t>5</w:t>
      </w:r>
      <w:r w:rsidRPr="00921A9C">
        <w:t xml:space="preserve">.  </w:t>
      </w:r>
      <w:r>
        <w:t>WV Flood Tool, WV Property Viewer, and Web Parcel Assessment Report</w:t>
      </w:r>
      <w:bookmarkEnd w:id="32"/>
      <w:r>
        <w:t xml:space="preserve"> </w:t>
      </w:r>
      <w:r w:rsidR="003F2DAC">
        <w:rPr>
          <w:rFonts w:eastAsia="Times New Roman"/>
        </w:rPr>
        <w:br w:type="page"/>
      </w:r>
    </w:p>
    <w:p w:rsidR="0080292B" w:rsidRPr="00595C50" w:rsidRDefault="00595C50" w:rsidP="00595C50">
      <w:pPr>
        <w:spacing w:after="0"/>
      </w:pPr>
      <w:r w:rsidRPr="00595C50">
        <w:rPr>
          <w:rStyle w:val="Heading3Char"/>
          <w:noProof/>
        </w:rPr>
        <w:lastRenderedPageBreak/>
        <w:drawing>
          <wp:anchor distT="0" distB="0" distL="114300" distR="114300" simplePos="0" relativeHeight="251715584" behindDoc="0" locked="0" layoutInCell="1" allowOverlap="1" wp14:anchorId="7B2DB659" wp14:editId="23B96780">
            <wp:simplePos x="0" y="0"/>
            <wp:positionH relativeFrom="column">
              <wp:posOffset>3063240</wp:posOffset>
            </wp:positionH>
            <wp:positionV relativeFrom="paragraph">
              <wp:posOffset>391795</wp:posOffset>
            </wp:positionV>
            <wp:extent cx="2940685" cy="3886200"/>
            <wp:effectExtent l="0" t="0" r="0" b="0"/>
            <wp:wrapThrough wrapText="bothSides">
              <wp:wrapPolygon edited="0">
                <wp:start x="0" y="0"/>
                <wp:lineTo x="0" y="21494"/>
                <wp:lineTo x="21409" y="21494"/>
                <wp:lineTo x="21409"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40685" cy="3886200"/>
                    </a:xfrm>
                    <a:prstGeom prst="rect">
                      <a:avLst/>
                    </a:prstGeom>
                  </pic:spPr>
                </pic:pic>
              </a:graphicData>
            </a:graphic>
            <wp14:sizeRelH relativeFrom="margin">
              <wp14:pctWidth>0</wp14:pctWidth>
            </wp14:sizeRelH>
            <wp14:sizeRelV relativeFrom="margin">
              <wp14:pctHeight>0</wp14:pctHeight>
            </wp14:sizeRelV>
          </wp:anchor>
        </w:drawing>
      </w:r>
      <w:r w:rsidRPr="00595C50">
        <w:rPr>
          <w:rStyle w:val="Heading3Char"/>
          <w:noProof/>
        </w:rPr>
        <w:drawing>
          <wp:anchor distT="0" distB="0" distL="114300" distR="114300" simplePos="0" relativeHeight="251714560" behindDoc="1" locked="0" layoutInCell="1" allowOverlap="1" wp14:anchorId="1AC45406" wp14:editId="78D81855">
            <wp:simplePos x="0" y="0"/>
            <wp:positionH relativeFrom="margin">
              <wp:posOffset>35560</wp:posOffset>
            </wp:positionH>
            <wp:positionV relativeFrom="paragraph">
              <wp:posOffset>391795</wp:posOffset>
            </wp:positionV>
            <wp:extent cx="2908935" cy="3886200"/>
            <wp:effectExtent l="19050" t="19050" r="24765" b="19050"/>
            <wp:wrapThrough wrapText="bothSides">
              <wp:wrapPolygon edited="0">
                <wp:start x="-141" y="-106"/>
                <wp:lineTo x="-141" y="21600"/>
                <wp:lineTo x="21642" y="21600"/>
                <wp:lineTo x="21642" y="-106"/>
                <wp:lineTo x="-141" y="-106"/>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8935" cy="3886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33" w:name="_Toc34388254"/>
      <w:r w:rsidR="0080292B" w:rsidRPr="00595C50">
        <w:rPr>
          <w:rStyle w:val="Heading3Char"/>
        </w:rPr>
        <w:t>Figure 6.  Flood Risk Map</w:t>
      </w:r>
      <w:bookmarkEnd w:id="33"/>
      <w:r w:rsidR="0080292B" w:rsidRPr="00595C50">
        <w:t xml:space="preserve">.  </w:t>
      </w:r>
      <w:r w:rsidRPr="00595C50">
        <w:t>Static Map and WV Flood Tool.</w:t>
      </w:r>
    </w:p>
    <w:p w:rsidR="00595C50" w:rsidRDefault="00595C50" w:rsidP="0080292B">
      <w:pPr>
        <w:pStyle w:val="Heading3"/>
        <w:spacing w:after="0"/>
        <w:rPr>
          <w:rFonts w:eastAsia="Times New Roman"/>
        </w:rPr>
      </w:pPr>
    </w:p>
    <w:p w:rsidR="0080292B" w:rsidRPr="00197B00" w:rsidRDefault="0080292B" w:rsidP="00595C50">
      <w:pPr>
        <w:rPr>
          <w:rFonts w:eastAsia="Times New Roman"/>
        </w:rPr>
      </w:pPr>
      <w:bookmarkStart w:id="34" w:name="_Toc34388255"/>
      <w:r w:rsidRPr="00595C50">
        <w:rPr>
          <w:rStyle w:val="Heading3Char"/>
        </w:rPr>
        <w:t>Figure 7.  Flood Risk Database</w:t>
      </w:r>
      <w:bookmarkEnd w:id="34"/>
      <w:r>
        <w:rPr>
          <w:rFonts w:eastAsia="Times New Roman"/>
        </w:rPr>
        <w:t>.  Also known as Flood Risk Assessment GIS (FRAGIS).</w:t>
      </w:r>
      <w:r w:rsidRPr="0080292B">
        <w:rPr>
          <w:noProof/>
        </w:rPr>
        <w:t xml:space="preserve"> </w:t>
      </w:r>
    </w:p>
    <w:p w:rsidR="0080292B" w:rsidRDefault="00595C50">
      <w:pPr>
        <w:rPr>
          <w:rFonts w:eastAsia="Times New Roman"/>
        </w:rPr>
      </w:pPr>
      <w:r>
        <w:rPr>
          <w:noProof/>
        </w:rPr>
        <w:drawing>
          <wp:anchor distT="0" distB="0" distL="114300" distR="114300" simplePos="0" relativeHeight="251712512" behindDoc="0" locked="0" layoutInCell="1" allowOverlap="1" wp14:anchorId="152A70E3" wp14:editId="18397F9F">
            <wp:simplePos x="0" y="0"/>
            <wp:positionH relativeFrom="column">
              <wp:posOffset>737528</wp:posOffset>
            </wp:positionH>
            <wp:positionV relativeFrom="paragraph">
              <wp:posOffset>36599</wp:posOffset>
            </wp:positionV>
            <wp:extent cx="4322618" cy="3221891"/>
            <wp:effectExtent l="19050" t="19050" r="20955" b="171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22618" cy="322189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292B">
        <w:rPr>
          <w:rFonts w:eastAsia="Times New Roman"/>
        </w:rPr>
        <w:br w:type="page"/>
      </w:r>
    </w:p>
    <w:p w:rsidR="007C321B" w:rsidRPr="00197B00" w:rsidRDefault="007C321B" w:rsidP="007C321B">
      <w:pPr>
        <w:pStyle w:val="Heading3"/>
        <w:spacing w:after="0"/>
        <w:rPr>
          <w:rFonts w:eastAsia="Times New Roman"/>
        </w:rPr>
      </w:pPr>
      <w:bookmarkStart w:id="35" w:name="_Toc34388256"/>
      <w:r w:rsidRPr="00197B00">
        <w:rPr>
          <w:rFonts w:eastAsia="Times New Roman"/>
        </w:rPr>
        <w:lastRenderedPageBreak/>
        <w:t xml:space="preserve">Figure </w:t>
      </w:r>
      <w:r w:rsidR="00595C50">
        <w:rPr>
          <w:rFonts w:eastAsia="Times New Roman"/>
        </w:rPr>
        <w:t>8</w:t>
      </w:r>
      <w:r w:rsidRPr="00197B00">
        <w:rPr>
          <w:rFonts w:eastAsia="Times New Roman"/>
        </w:rPr>
        <w:t>.  Building-Level Flood Risk Assessment Cycle</w:t>
      </w:r>
      <w:bookmarkEnd w:id="35"/>
    </w:p>
    <w:p w:rsidR="007C321B" w:rsidRDefault="007C321B" w:rsidP="007C321B">
      <w:pPr>
        <w:spacing w:after="0"/>
        <w:rPr>
          <w:rFonts w:ascii="Calibri" w:eastAsia="Times New Roman" w:hAnsi="Calibri" w:cs="Calibri"/>
          <w:color w:val="000000"/>
          <w:szCs w:val="20"/>
        </w:rPr>
      </w:pPr>
      <w:r>
        <w:rPr>
          <w:noProof/>
        </w:rPr>
        <w:drawing>
          <wp:anchor distT="0" distB="0" distL="114300" distR="114300" simplePos="0" relativeHeight="251689984" behindDoc="0" locked="0" layoutInCell="1" allowOverlap="1" wp14:anchorId="70E1B15A" wp14:editId="1D5DCB8C">
            <wp:simplePos x="0" y="0"/>
            <wp:positionH relativeFrom="margin">
              <wp:align>left</wp:align>
            </wp:positionH>
            <wp:positionV relativeFrom="margin">
              <wp:posOffset>241300</wp:posOffset>
            </wp:positionV>
            <wp:extent cx="4946650" cy="3725545"/>
            <wp:effectExtent l="0" t="0" r="635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946650" cy="3725545"/>
                    </a:xfrm>
                    <a:prstGeom prst="rect">
                      <a:avLst/>
                    </a:prstGeom>
                  </pic:spPr>
                </pic:pic>
              </a:graphicData>
            </a:graphic>
            <wp14:sizeRelH relativeFrom="margin">
              <wp14:pctWidth>0</wp14:pctWidth>
            </wp14:sizeRelH>
            <wp14:sizeRelV relativeFrom="margin">
              <wp14:pctHeight>0</wp14:pctHeight>
            </wp14:sizeRelV>
          </wp:anchor>
        </w:drawing>
      </w: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Pr="00197B00" w:rsidRDefault="007C321B" w:rsidP="007C321B">
      <w:pPr>
        <w:pStyle w:val="Heading3"/>
        <w:spacing w:after="0"/>
        <w:rPr>
          <w:rFonts w:eastAsia="Times New Roman"/>
        </w:rPr>
      </w:pPr>
      <w:bookmarkStart w:id="36" w:name="_Toc34388257"/>
      <w:r w:rsidRPr="00197B00">
        <w:rPr>
          <w:rFonts w:eastAsia="Times New Roman"/>
        </w:rPr>
        <w:t xml:space="preserve">Figure </w:t>
      </w:r>
      <w:r w:rsidR="00595C50">
        <w:rPr>
          <w:rFonts w:eastAsia="Times New Roman"/>
        </w:rPr>
        <w:t>9</w:t>
      </w:r>
      <w:r w:rsidRPr="00197B00">
        <w:rPr>
          <w:rFonts w:eastAsia="Times New Roman"/>
        </w:rPr>
        <w:t>.  Building Inventory Workflow</w:t>
      </w:r>
      <w:bookmarkEnd w:id="36"/>
    </w:p>
    <w:p w:rsidR="007C321B" w:rsidRDefault="007C321B" w:rsidP="007C321B">
      <w:pPr>
        <w:spacing w:after="0"/>
        <w:rPr>
          <w:rFonts w:ascii="Calibri" w:eastAsia="Times New Roman" w:hAnsi="Calibri" w:cs="Calibri"/>
          <w:color w:val="000000"/>
          <w:szCs w:val="20"/>
        </w:rPr>
      </w:pPr>
      <w:r>
        <w:rPr>
          <w:noProof/>
        </w:rPr>
        <w:drawing>
          <wp:anchor distT="0" distB="0" distL="114300" distR="114300" simplePos="0" relativeHeight="251691008" behindDoc="1" locked="0" layoutInCell="1" allowOverlap="1" wp14:anchorId="32568B75" wp14:editId="3D30D9ED">
            <wp:simplePos x="0" y="0"/>
            <wp:positionH relativeFrom="column">
              <wp:posOffset>88265</wp:posOffset>
            </wp:positionH>
            <wp:positionV relativeFrom="paragraph">
              <wp:posOffset>46990</wp:posOffset>
            </wp:positionV>
            <wp:extent cx="4907915" cy="3695700"/>
            <wp:effectExtent l="0" t="0" r="6985" b="0"/>
            <wp:wrapTight wrapText="bothSides">
              <wp:wrapPolygon edited="0">
                <wp:start x="0" y="0"/>
                <wp:lineTo x="0" y="21489"/>
                <wp:lineTo x="21547" y="21489"/>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907915" cy="3695700"/>
                    </a:xfrm>
                    <a:prstGeom prst="rect">
                      <a:avLst/>
                    </a:prstGeom>
                  </pic:spPr>
                </pic:pic>
              </a:graphicData>
            </a:graphic>
            <wp14:sizeRelH relativeFrom="margin">
              <wp14:pctWidth>0</wp14:pctWidth>
            </wp14:sizeRelH>
            <wp14:sizeRelV relativeFrom="margin">
              <wp14:pctHeight>0</wp14:pctHeight>
            </wp14:sizeRelV>
          </wp:anchor>
        </w:drawing>
      </w:r>
    </w:p>
    <w:p w:rsidR="007C321B" w:rsidRDefault="007C321B" w:rsidP="007C321B">
      <w:pPr>
        <w:spacing w:after="0"/>
        <w:rPr>
          <w:rFonts w:ascii="Calibri" w:eastAsia="Times New Roman" w:hAnsi="Calibri" w:cs="Calibri"/>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br w:type="page"/>
      </w:r>
    </w:p>
    <w:p w:rsidR="007C321B" w:rsidRPr="00197B00" w:rsidRDefault="007C321B" w:rsidP="007C321B">
      <w:pPr>
        <w:pStyle w:val="Heading3"/>
        <w:rPr>
          <w:rFonts w:eastAsia="Times New Roman"/>
        </w:rPr>
      </w:pPr>
      <w:bookmarkStart w:id="37" w:name="_Toc34388258"/>
      <w:r w:rsidRPr="00197B00">
        <w:rPr>
          <w:rFonts w:eastAsia="Times New Roman"/>
        </w:rPr>
        <w:lastRenderedPageBreak/>
        <w:t xml:space="preserve">Figure </w:t>
      </w:r>
      <w:r w:rsidR="00595C50">
        <w:rPr>
          <w:rFonts w:eastAsia="Times New Roman"/>
        </w:rPr>
        <w:t>10</w:t>
      </w:r>
      <w:r w:rsidRPr="00197B00">
        <w:rPr>
          <w:rFonts w:eastAsia="Times New Roman"/>
        </w:rPr>
        <w:t>.  Hazus Flood Loss Flowchart</w:t>
      </w:r>
      <w:bookmarkEnd w:id="37"/>
    </w:p>
    <w:p w:rsidR="007C321B" w:rsidRDefault="007C321B" w:rsidP="007C321B">
      <w:pPr>
        <w:rPr>
          <w:rFonts w:ascii="Calibri" w:eastAsia="Times New Roman" w:hAnsi="Calibri" w:cs="Calibri"/>
          <w:b/>
          <w:color w:val="000000"/>
          <w:szCs w:val="20"/>
        </w:rPr>
      </w:pPr>
      <w:r>
        <w:rPr>
          <w:noProof/>
        </w:rPr>
        <w:drawing>
          <wp:inline distT="0" distB="0" distL="0" distR="0" wp14:anchorId="7A6A5E56" wp14:editId="5DB20FD0">
            <wp:extent cx="5600700" cy="68173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6817360"/>
                    </a:xfrm>
                    <a:prstGeom prst="rect">
                      <a:avLst/>
                    </a:prstGeom>
                  </pic:spPr>
                </pic:pic>
              </a:graphicData>
            </a:graphic>
          </wp:inline>
        </w:drawing>
      </w:r>
    </w:p>
    <w:p w:rsidR="007C321B" w:rsidRDefault="007C321B" w:rsidP="007C321B">
      <w:pPr>
        <w:rPr>
          <w:rFonts w:ascii="Calibri" w:eastAsia="Times New Roman" w:hAnsi="Calibri" w:cs="Calibri"/>
          <w:b/>
          <w:color w:val="000000"/>
          <w:szCs w:val="20"/>
        </w:rPr>
      </w:pPr>
    </w:p>
    <w:p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br w:type="page"/>
      </w:r>
    </w:p>
    <w:p w:rsidR="00655B64" w:rsidRDefault="00655B64" w:rsidP="00655B64">
      <w:bookmarkStart w:id="38" w:name="_Toc34388235"/>
      <w:r w:rsidRPr="00655B64">
        <w:rPr>
          <w:rStyle w:val="TableFigureChar"/>
        </w:rPr>
        <w:lastRenderedPageBreak/>
        <w:t>Table 3.  Spatial Identifiers</w:t>
      </w:r>
      <w:bookmarkEnd w:id="38"/>
      <w:r w:rsidRPr="00655B64">
        <w:t>.  The standardized Building Identifier is a combination of the 20-character parcel identifier and building address number.</w:t>
      </w:r>
    </w:p>
    <w:p w:rsidR="007C321B" w:rsidRDefault="007C321B" w:rsidP="00655B64">
      <w:pPr>
        <w:rPr>
          <w:rStyle w:val="TableChar"/>
          <w:rFonts w:eastAsiaTheme="minorHAnsi"/>
        </w:rPr>
      </w:pPr>
      <w:r>
        <w:rPr>
          <w:noProof/>
        </w:rPr>
        <w:drawing>
          <wp:anchor distT="0" distB="0" distL="114300" distR="114300" simplePos="0" relativeHeight="251692032" behindDoc="1" locked="0" layoutInCell="1" allowOverlap="1" wp14:anchorId="13158119" wp14:editId="3B064A17">
            <wp:simplePos x="0" y="0"/>
            <wp:positionH relativeFrom="column">
              <wp:posOffset>-635</wp:posOffset>
            </wp:positionH>
            <wp:positionV relativeFrom="paragraph">
              <wp:posOffset>5051425</wp:posOffset>
            </wp:positionV>
            <wp:extent cx="3107055" cy="2676525"/>
            <wp:effectExtent l="19050" t="19050" r="17145" b="28575"/>
            <wp:wrapTight wrapText="bothSides">
              <wp:wrapPolygon edited="0">
                <wp:start x="-132" y="-154"/>
                <wp:lineTo x="-132" y="21677"/>
                <wp:lineTo x="21587" y="21677"/>
                <wp:lineTo x="21587" y="-154"/>
                <wp:lineTo x="-132" y="-15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107055" cy="2676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7B551C0F" wp14:editId="0B226523">
            <wp:simplePos x="0" y="0"/>
            <wp:positionH relativeFrom="column">
              <wp:posOffset>3314700</wp:posOffset>
            </wp:positionH>
            <wp:positionV relativeFrom="paragraph">
              <wp:posOffset>5051425</wp:posOffset>
            </wp:positionV>
            <wp:extent cx="2833312" cy="2686050"/>
            <wp:effectExtent l="19050" t="19050" r="24765" b="19050"/>
            <wp:wrapTight wrapText="bothSides">
              <wp:wrapPolygon edited="0">
                <wp:start x="-145" y="-153"/>
                <wp:lineTo x="-145" y="21600"/>
                <wp:lineTo x="21644" y="21600"/>
                <wp:lineTo x="21644" y="-153"/>
                <wp:lineTo x="-145" y="-15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34112" cy="26868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18EA297" wp14:editId="18006183">
            <wp:extent cx="5915025" cy="445001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1213" cy="4454667"/>
                    </a:xfrm>
                    <a:prstGeom prst="rect">
                      <a:avLst/>
                    </a:prstGeom>
                  </pic:spPr>
                </pic:pic>
              </a:graphicData>
            </a:graphic>
          </wp:inline>
        </w:drawing>
      </w:r>
      <w:r>
        <w:rPr>
          <w:rStyle w:val="TableChar"/>
          <w:rFonts w:eastAsiaTheme="minorHAnsi"/>
        </w:rPr>
        <w:br w:type="page"/>
      </w:r>
    </w:p>
    <w:p w:rsidR="007C321B" w:rsidRDefault="007C321B" w:rsidP="007C321B">
      <w:bookmarkStart w:id="39" w:name="_Toc34388236"/>
      <w:bookmarkStart w:id="40" w:name="_Toc34317958"/>
      <w:r w:rsidRPr="007C321B">
        <w:rPr>
          <w:rStyle w:val="TableFigureChar"/>
        </w:rPr>
        <w:lastRenderedPageBreak/>
        <w:t xml:space="preserve">Table </w:t>
      </w:r>
      <w:r w:rsidR="00655B64">
        <w:rPr>
          <w:rStyle w:val="TableFigureChar"/>
        </w:rPr>
        <w:t>4</w:t>
      </w:r>
      <w:r w:rsidRPr="007C321B">
        <w:rPr>
          <w:rStyle w:val="TableFigureChar"/>
        </w:rPr>
        <w:t>.  Hazus Mode Inputs:  Building Characteristics</w:t>
      </w:r>
      <w:bookmarkEnd w:id="39"/>
      <w:r w:rsidRPr="007310D7">
        <w:rPr>
          <w:rStyle w:val="TableChar"/>
          <w:rFonts w:eastAsiaTheme="minorHAnsi"/>
        </w:rPr>
        <w:t>.</w:t>
      </w:r>
      <w:bookmarkEnd w:id="40"/>
      <w:r>
        <w:t xml:space="preserve"> </w:t>
      </w:r>
      <w:r w:rsidRPr="007310D7">
        <w:t xml:space="preserve"> User-defined modified values in red text.</w:t>
      </w:r>
    </w:p>
    <w:tbl>
      <w:tblPr>
        <w:tblW w:w="9180" w:type="dxa"/>
        <w:tblInd w:w="-5" w:type="dxa"/>
        <w:tblLook w:val="04A0" w:firstRow="1" w:lastRow="0" w:firstColumn="1" w:lastColumn="0" w:noHBand="0" w:noVBand="1"/>
      </w:tblPr>
      <w:tblGrid>
        <w:gridCol w:w="1280"/>
        <w:gridCol w:w="1300"/>
        <w:gridCol w:w="1280"/>
        <w:gridCol w:w="2120"/>
        <w:gridCol w:w="1074"/>
        <w:gridCol w:w="2126"/>
      </w:tblGrid>
      <w:tr w:rsidR="007C321B" w:rsidRPr="00130955" w:rsidTr="007C321B">
        <w:trPr>
          <w:trHeight w:val="720"/>
        </w:trPr>
        <w:tc>
          <w:tcPr>
            <w:tcW w:w="12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Primary Assessment Source</w:t>
            </w:r>
          </w:p>
        </w:tc>
        <w:tc>
          <w:tcPr>
            <w:tcW w:w="13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Hazus Codes</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7C321B">
            <w:pPr>
              <w:spacing w:after="0" w:line="240" w:lineRule="auto"/>
              <w:jc w:val="center"/>
              <w:rPr>
                <w:rFonts w:ascii="Calibri" w:eastAsia="Times New Roman" w:hAnsi="Calibri" w:cs="Calibri"/>
                <w:b/>
                <w:color w:val="FF0000"/>
                <w:sz w:val="18"/>
                <w:szCs w:val="18"/>
              </w:rPr>
            </w:pPr>
            <w:r w:rsidRPr="00F27EE9">
              <w:rPr>
                <w:rFonts w:ascii="Calibri" w:eastAsia="Times New Roman" w:hAnsi="Calibri" w:cs="Calibri"/>
                <w:b/>
                <w:color w:val="FF0000"/>
                <w:sz w:val="18"/>
                <w:szCs w:val="18"/>
              </w:rPr>
              <w:t xml:space="preserve">Modified Values (User Defined) </w:t>
            </w:r>
          </w:p>
        </w:tc>
        <w:tc>
          <w:tcPr>
            <w:tcW w:w="21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Secondary Sources</w:t>
            </w:r>
          </w:p>
        </w:tc>
        <w:tc>
          <w:tcPr>
            <w:tcW w:w="107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Hazus Input</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7C321B">
            <w:pPr>
              <w:spacing w:after="0" w:line="240" w:lineRule="auto"/>
              <w:jc w:val="center"/>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Notes</w:t>
            </w:r>
          </w:p>
        </w:tc>
      </w:tr>
      <w:tr w:rsidR="007C321B" w:rsidRPr="00130955" w:rsidTr="007C321B">
        <w:trPr>
          <w:trHeight w:val="552"/>
        </w:trPr>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Basement &amp; Building Year</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Foundation LUT (Pre-FIRM, Post-FIRM)</w:t>
            </w:r>
          </w:p>
        </w:tc>
        <w:tc>
          <w:tcPr>
            <w:tcW w:w="128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M-Foundation</w:t>
            </w:r>
          </w:p>
        </w:tc>
        <w:tc>
          <w:tcPr>
            <w:tcW w:w="2120" w:type="dxa"/>
            <w:vMerge w:val="restart"/>
            <w:tcBorders>
              <w:top w:val="nil"/>
              <w:left w:val="single" w:sz="4" w:space="0" w:color="auto"/>
              <w:bottom w:val="single" w:sz="4" w:space="0" w:color="000000"/>
              <w:right w:val="single" w:sz="4" w:space="0" w:color="auto"/>
            </w:tcBorders>
            <w:shd w:val="clear" w:color="auto" w:fill="auto"/>
            <w:vAlign w:val="center"/>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Elevation Certificates, Building Pictures</w:t>
            </w:r>
          </w:p>
        </w:tc>
        <w:tc>
          <w:tcPr>
            <w:tcW w:w="1074"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 xml:space="preserve">Foundation Type </w:t>
            </w:r>
          </w:p>
        </w:tc>
        <w:tc>
          <w:tcPr>
            <w:tcW w:w="2126" w:type="dxa"/>
            <w:tcBorders>
              <w:top w:val="nil"/>
              <w:left w:val="nil"/>
              <w:bottom w:val="single" w:sz="4" w:space="0" w:color="auto"/>
              <w:right w:val="single" w:sz="4" w:space="0" w:color="auto"/>
            </w:tcBorders>
            <w:shd w:val="clear" w:color="auto" w:fill="auto"/>
            <w:vAlign w:val="bottom"/>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See Foundation Code LUT for descriptions</w:t>
            </w:r>
          </w:p>
        </w:tc>
      </w:tr>
      <w:tr w:rsidR="007C321B" w:rsidRPr="00130955" w:rsidTr="007C321B">
        <w:trPr>
          <w:trHeight w:val="288"/>
        </w:trPr>
        <w:tc>
          <w:tcPr>
            <w:tcW w:w="1280" w:type="dxa"/>
            <w:vMerge/>
            <w:tcBorders>
              <w:top w:val="nil"/>
              <w:left w:val="single" w:sz="4" w:space="0" w:color="auto"/>
              <w:bottom w:val="single" w:sz="4" w:space="0" w:color="000000"/>
              <w:right w:val="single" w:sz="4" w:space="0" w:color="auto"/>
            </w:tcBorders>
            <w:vAlign w:val="center"/>
            <w:hideMark/>
          </w:tcPr>
          <w:p w:rsidR="007C321B" w:rsidRPr="00130955" w:rsidRDefault="007C321B" w:rsidP="007C321B">
            <w:pPr>
              <w:spacing w:after="0" w:line="240" w:lineRule="auto"/>
              <w:rPr>
                <w:rFonts w:ascii="Calibri" w:eastAsia="Times New Roman" w:hAnsi="Calibri" w:cs="Calibri"/>
                <w:color w:val="000000"/>
                <w:sz w:val="18"/>
                <w:szCs w:val="18"/>
              </w:rPr>
            </w:pPr>
          </w:p>
        </w:tc>
        <w:tc>
          <w:tcPr>
            <w:tcW w:w="1300" w:type="dxa"/>
            <w:vMerge/>
            <w:tcBorders>
              <w:top w:val="nil"/>
              <w:left w:val="single" w:sz="4" w:space="0" w:color="auto"/>
              <w:bottom w:val="single" w:sz="4" w:space="0" w:color="000000"/>
              <w:right w:val="single" w:sz="4" w:space="0" w:color="auto"/>
            </w:tcBorders>
            <w:vAlign w:val="center"/>
            <w:hideMark/>
          </w:tcPr>
          <w:p w:rsidR="007C321B" w:rsidRPr="00130955" w:rsidRDefault="007C321B" w:rsidP="007C321B">
            <w:pPr>
              <w:spacing w:after="0" w:line="240" w:lineRule="auto"/>
              <w:rPr>
                <w:rFonts w:ascii="Calibri" w:eastAsia="Times New Roman" w:hAnsi="Calibri" w:cs="Calibri"/>
                <w:color w:val="000000"/>
                <w:sz w:val="18"/>
                <w:szCs w:val="18"/>
              </w:rPr>
            </w:pPr>
          </w:p>
        </w:tc>
        <w:tc>
          <w:tcPr>
            <w:tcW w:w="128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M-FFH</w:t>
            </w:r>
          </w:p>
        </w:tc>
        <w:tc>
          <w:tcPr>
            <w:tcW w:w="2120" w:type="dxa"/>
            <w:vMerge/>
            <w:tcBorders>
              <w:top w:val="nil"/>
              <w:left w:val="single" w:sz="4" w:space="0" w:color="auto"/>
              <w:bottom w:val="single" w:sz="4" w:space="0" w:color="000000"/>
              <w:right w:val="single" w:sz="4" w:space="0" w:color="auto"/>
            </w:tcBorders>
            <w:vAlign w:val="center"/>
            <w:hideMark/>
          </w:tcPr>
          <w:p w:rsidR="007C321B" w:rsidRPr="00130955" w:rsidRDefault="007C321B" w:rsidP="007C321B">
            <w:pPr>
              <w:spacing w:after="0" w:line="240" w:lineRule="auto"/>
              <w:rPr>
                <w:rFonts w:ascii="Calibri" w:eastAsia="Times New Roman" w:hAnsi="Calibri" w:cs="Calibri"/>
                <w:color w:val="000000"/>
                <w:sz w:val="18"/>
                <w:szCs w:val="18"/>
              </w:rPr>
            </w:pPr>
          </w:p>
        </w:tc>
        <w:tc>
          <w:tcPr>
            <w:tcW w:w="1074"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First Floor Height</w:t>
            </w:r>
          </w:p>
        </w:tc>
        <w:tc>
          <w:tcPr>
            <w:tcW w:w="2126" w:type="dxa"/>
            <w:tcBorders>
              <w:top w:val="nil"/>
              <w:left w:val="nil"/>
              <w:bottom w:val="single" w:sz="4" w:space="0" w:color="auto"/>
              <w:right w:val="single" w:sz="4" w:space="0" w:color="auto"/>
            </w:tcBorders>
            <w:shd w:val="clear" w:color="auto" w:fill="auto"/>
            <w:vAlign w:val="bottom"/>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r>
      <w:tr w:rsidR="007C321B" w:rsidRPr="00130955" w:rsidTr="007C321B">
        <w:trPr>
          <w:trHeight w:val="492"/>
        </w:trPr>
        <w:tc>
          <w:tcPr>
            <w:tcW w:w="1280" w:type="dxa"/>
            <w:tcBorders>
              <w:top w:val="nil"/>
              <w:left w:val="single" w:sz="4" w:space="0" w:color="auto"/>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Land Use</w:t>
            </w:r>
          </w:p>
        </w:tc>
        <w:tc>
          <w:tcPr>
            <w:tcW w:w="130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Occupancy Class LUT</w:t>
            </w:r>
          </w:p>
        </w:tc>
        <w:tc>
          <w:tcPr>
            <w:tcW w:w="128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w:t>
            </w:r>
            <w:proofErr w:type="spellStart"/>
            <w:r w:rsidRPr="00130955">
              <w:rPr>
                <w:rFonts w:ascii="Calibri" w:eastAsia="Times New Roman" w:hAnsi="Calibri" w:cs="Calibri"/>
                <w:color w:val="FF0000"/>
                <w:sz w:val="18"/>
                <w:szCs w:val="18"/>
              </w:rPr>
              <w:t>OccupClass</w:t>
            </w:r>
            <w:proofErr w:type="spellEnd"/>
          </w:p>
        </w:tc>
        <w:tc>
          <w:tcPr>
            <w:tcW w:w="212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Building Pictures, Business Directories</w:t>
            </w:r>
          </w:p>
        </w:tc>
        <w:tc>
          <w:tcPr>
            <w:tcW w:w="1074"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Occupancy Class</w:t>
            </w:r>
          </w:p>
        </w:tc>
        <w:tc>
          <w:tcPr>
            <w:tcW w:w="2126" w:type="dxa"/>
            <w:tcBorders>
              <w:top w:val="nil"/>
              <w:left w:val="nil"/>
              <w:bottom w:val="single" w:sz="4" w:space="0" w:color="auto"/>
              <w:right w:val="single" w:sz="4" w:space="0" w:color="auto"/>
            </w:tcBorders>
            <w:shd w:val="clear" w:color="auto" w:fill="auto"/>
            <w:vAlign w:val="bottom"/>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See Occupancy Class LUT for descriptions</w:t>
            </w:r>
          </w:p>
        </w:tc>
      </w:tr>
      <w:tr w:rsidR="007C321B" w:rsidRPr="00130955" w:rsidTr="007C321B">
        <w:trPr>
          <w:trHeight w:val="480"/>
        </w:trPr>
        <w:tc>
          <w:tcPr>
            <w:tcW w:w="1280" w:type="dxa"/>
            <w:tcBorders>
              <w:top w:val="nil"/>
              <w:left w:val="single" w:sz="4" w:space="0" w:color="auto"/>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Number of Stories</w:t>
            </w:r>
          </w:p>
        </w:tc>
        <w:tc>
          <w:tcPr>
            <w:tcW w:w="130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c>
          <w:tcPr>
            <w:tcW w:w="1280" w:type="dxa"/>
            <w:tcBorders>
              <w:top w:val="nil"/>
              <w:left w:val="nil"/>
              <w:bottom w:val="nil"/>
              <w:right w:val="nil"/>
            </w:tcBorders>
            <w:shd w:val="clear" w:color="auto" w:fill="auto"/>
            <w:vAlign w:val="bottom"/>
            <w:hideMark/>
          </w:tcPr>
          <w:p w:rsidR="007C321B" w:rsidRPr="00130955" w:rsidRDefault="007C321B" w:rsidP="007C321B">
            <w:pPr>
              <w:spacing w:after="0" w:line="240" w:lineRule="auto"/>
              <w:rPr>
                <w:rFonts w:ascii="Calibri" w:eastAsia="Times New Roman" w:hAnsi="Calibri" w:cs="Calibri"/>
                <w:color w:val="000000"/>
                <w:sz w:val="18"/>
                <w:szCs w:val="18"/>
              </w:rPr>
            </w:pPr>
          </w:p>
        </w:tc>
        <w:tc>
          <w:tcPr>
            <w:tcW w:w="2120" w:type="dxa"/>
            <w:tcBorders>
              <w:top w:val="nil"/>
              <w:left w:val="single" w:sz="4" w:space="0" w:color="auto"/>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Building Pictures</w:t>
            </w:r>
          </w:p>
        </w:tc>
        <w:tc>
          <w:tcPr>
            <w:tcW w:w="1074"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Number of Stories</w:t>
            </w:r>
          </w:p>
        </w:tc>
        <w:tc>
          <w:tcPr>
            <w:tcW w:w="2126"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sz w:val="18"/>
                <w:szCs w:val="18"/>
              </w:rPr>
            </w:pPr>
            <w:r w:rsidRPr="00130955">
              <w:rPr>
                <w:rFonts w:ascii="Calibri" w:eastAsia="Times New Roman" w:hAnsi="Calibri" w:cs="Calibri"/>
                <w:sz w:val="18"/>
                <w:szCs w:val="18"/>
              </w:rPr>
              <w:t>Unknown Stories value = 1 Story</w:t>
            </w:r>
          </w:p>
        </w:tc>
      </w:tr>
      <w:tr w:rsidR="007C321B" w:rsidRPr="00130955" w:rsidTr="007C321B">
        <w:trPr>
          <w:trHeight w:val="960"/>
        </w:trPr>
        <w:tc>
          <w:tcPr>
            <w:tcW w:w="1280" w:type="dxa"/>
            <w:tcBorders>
              <w:top w:val="nil"/>
              <w:left w:val="single" w:sz="4" w:space="0" w:color="auto"/>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Building Cost</w:t>
            </w:r>
          </w:p>
        </w:tc>
        <w:tc>
          <w:tcPr>
            <w:tcW w:w="130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c>
          <w:tcPr>
            <w:tcW w:w="1280" w:type="dxa"/>
            <w:tcBorders>
              <w:top w:val="single" w:sz="4" w:space="0" w:color="auto"/>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FF0000"/>
                <w:sz w:val="18"/>
                <w:szCs w:val="18"/>
              </w:rPr>
            </w:pPr>
            <w:r>
              <w:rPr>
                <w:rFonts w:ascii="Calibri" w:eastAsia="Times New Roman" w:hAnsi="Calibri" w:cs="Calibri"/>
                <w:color w:val="FF0000"/>
                <w:sz w:val="18"/>
                <w:szCs w:val="18"/>
              </w:rPr>
              <w:t>M-Cost</w:t>
            </w:r>
          </w:p>
        </w:tc>
        <w:tc>
          <w:tcPr>
            <w:tcW w:w="212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Neighboring Parcels, RS Means, Insurance Databases</w:t>
            </w:r>
          </w:p>
        </w:tc>
        <w:tc>
          <w:tcPr>
            <w:tcW w:w="1074"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Cost</w:t>
            </w:r>
          </w:p>
        </w:tc>
        <w:tc>
          <w:tcPr>
            <w:tcW w:w="2126"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Unknown value for RES2 trailers:  Single</w:t>
            </w:r>
            <w:r>
              <w:rPr>
                <w:rFonts w:ascii="Calibri" w:eastAsia="Times New Roman" w:hAnsi="Calibri" w:cs="Calibri"/>
                <w:color w:val="000000"/>
                <w:sz w:val="18"/>
                <w:szCs w:val="18"/>
              </w:rPr>
              <w:t xml:space="preserve"> </w:t>
            </w:r>
            <w:r w:rsidRPr="00130955">
              <w:rPr>
                <w:rFonts w:ascii="Calibri" w:eastAsia="Times New Roman" w:hAnsi="Calibri" w:cs="Calibri"/>
                <w:color w:val="000000"/>
                <w:sz w:val="18"/>
                <w:szCs w:val="18"/>
              </w:rPr>
              <w:t>wide = $</w:t>
            </w:r>
            <w:r>
              <w:rPr>
                <w:rFonts w:ascii="Calibri" w:eastAsia="Times New Roman" w:hAnsi="Calibri" w:cs="Calibri"/>
                <w:color w:val="000000"/>
                <w:sz w:val="18"/>
                <w:szCs w:val="18"/>
              </w:rPr>
              <w:t>23</w:t>
            </w:r>
            <w:r w:rsidRPr="00130955">
              <w:rPr>
                <w:rFonts w:ascii="Calibri" w:eastAsia="Times New Roman" w:hAnsi="Calibri" w:cs="Calibri"/>
                <w:color w:val="000000"/>
                <w:sz w:val="18"/>
                <w:szCs w:val="18"/>
              </w:rPr>
              <w:t>K, Doublewide = $</w:t>
            </w:r>
            <w:r>
              <w:rPr>
                <w:rFonts w:ascii="Calibri" w:eastAsia="Times New Roman" w:hAnsi="Calibri" w:cs="Calibri"/>
                <w:color w:val="000000"/>
                <w:sz w:val="18"/>
                <w:szCs w:val="18"/>
              </w:rPr>
              <w:t>46</w:t>
            </w:r>
            <w:r w:rsidRPr="00130955">
              <w:rPr>
                <w:rFonts w:ascii="Calibri" w:eastAsia="Times New Roman" w:hAnsi="Calibri" w:cs="Calibri"/>
                <w:color w:val="000000"/>
                <w:sz w:val="18"/>
                <w:szCs w:val="18"/>
              </w:rPr>
              <w:t>K</w:t>
            </w:r>
          </w:p>
        </w:tc>
      </w:tr>
      <w:tr w:rsidR="007C321B" w:rsidRPr="00130955" w:rsidTr="007C321B">
        <w:trPr>
          <w:trHeight w:val="348"/>
        </w:trPr>
        <w:tc>
          <w:tcPr>
            <w:tcW w:w="1280" w:type="dxa"/>
            <w:tcBorders>
              <w:top w:val="nil"/>
              <w:left w:val="single" w:sz="4" w:space="0" w:color="auto"/>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Area</w:t>
            </w:r>
          </w:p>
        </w:tc>
        <w:tc>
          <w:tcPr>
            <w:tcW w:w="130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 </w:t>
            </w:r>
          </w:p>
        </w:tc>
        <w:tc>
          <w:tcPr>
            <w:tcW w:w="128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M-Area</w:t>
            </w:r>
          </w:p>
        </w:tc>
        <w:tc>
          <w:tcPr>
            <w:tcW w:w="2120"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Sketch Diagrams, Measure Tools</w:t>
            </w:r>
          </w:p>
        </w:tc>
        <w:tc>
          <w:tcPr>
            <w:tcW w:w="1074" w:type="dxa"/>
            <w:tcBorders>
              <w:top w:val="nil"/>
              <w:left w:val="nil"/>
              <w:bottom w:val="single" w:sz="4" w:space="0" w:color="auto"/>
              <w:right w:val="single" w:sz="4" w:space="0" w:color="auto"/>
            </w:tcBorders>
            <w:shd w:val="clear" w:color="auto" w:fill="auto"/>
            <w:hideMark/>
          </w:tcPr>
          <w:p w:rsidR="007C321B" w:rsidRPr="00130955" w:rsidRDefault="007C321B" w:rsidP="007C321B">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Area</w:t>
            </w:r>
          </w:p>
        </w:tc>
        <w:tc>
          <w:tcPr>
            <w:tcW w:w="2126" w:type="dxa"/>
            <w:tcBorders>
              <w:top w:val="nil"/>
              <w:left w:val="nil"/>
              <w:bottom w:val="single" w:sz="4" w:space="0" w:color="auto"/>
              <w:right w:val="single" w:sz="4" w:space="0" w:color="auto"/>
            </w:tcBorders>
            <w:shd w:val="clear" w:color="auto" w:fill="auto"/>
            <w:vAlign w:val="bottom"/>
            <w:hideMark/>
          </w:tcPr>
          <w:p w:rsidR="007C321B" w:rsidRPr="00130955" w:rsidRDefault="007C321B" w:rsidP="007C321B">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Singlewide Area = 1,000 sq. ft.; Doublewide Area = 2,000 sq. ft.</w:t>
            </w:r>
          </w:p>
        </w:tc>
      </w:tr>
    </w:tbl>
    <w:p w:rsidR="007C321B" w:rsidRDefault="007C321B" w:rsidP="007C321B">
      <w:pPr>
        <w:spacing w:after="0"/>
      </w:pPr>
    </w:p>
    <w:p w:rsidR="0084432D" w:rsidRDefault="0084432D" w:rsidP="007C321B">
      <w:pPr>
        <w:spacing w:after="0"/>
      </w:pPr>
    </w:p>
    <w:p w:rsidR="0084432D" w:rsidRDefault="0084432D" w:rsidP="007C321B">
      <w:pPr>
        <w:spacing w:after="0"/>
      </w:pPr>
    </w:p>
    <w:p w:rsidR="007C321B" w:rsidRPr="007310D7" w:rsidRDefault="007C321B" w:rsidP="00655B64">
      <w:pPr>
        <w:pStyle w:val="TableFigure"/>
        <w:spacing w:after="0"/>
      </w:pPr>
      <w:bookmarkStart w:id="41" w:name="_Toc34317959"/>
      <w:bookmarkStart w:id="42" w:name="_Toc34388237"/>
      <w:r w:rsidRPr="007310D7">
        <w:t xml:space="preserve">Table </w:t>
      </w:r>
      <w:r w:rsidR="0084432D">
        <w:t>5</w:t>
      </w:r>
      <w:r w:rsidRPr="007310D7">
        <w:t>.  Hazus Mode Inputs:  Flood Water Depth</w:t>
      </w:r>
      <w:bookmarkEnd w:id="41"/>
      <w:bookmarkEnd w:id="42"/>
      <w:r w:rsidRPr="007310D7">
        <w:t xml:space="preserve"> </w:t>
      </w:r>
    </w:p>
    <w:tbl>
      <w:tblPr>
        <w:tblW w:w="9180" w:type="dxa"/>
        <w:tblInd w:w="-5" w:type="dxa"/>
        <w:tblLook w:val="04A0" w:firstRow="1" w:lastRow="0" w:firstColumn="1" w:lastColumn="0" w:noHBand="0" w:noVBand="1"/>
      </w:tblPr>
      <w:tblGrid>
        <w:gridCol w:w="2610"/>
        <w:gridCol w:w="990"/>
        <w:gridCol w:w="2834"/>
        <w:gridCol w:w="2746"/>
      </w:tblGrid>
      <w:tr w:rsidR="007C321B" w:rsidRPr="00130955" w:rsidTr="007C321B">
        <w:trPr>
          <w:trHeight w:val="552"/>
        </w:trPr>
        <w:tc>
          <w:tcPr>
            <w:tcW w:w="2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21B" w:rsidRPr="00F27EE9" w:rsidRDefault="007C321B" w:rsidP="00655B64">
            <w:pPr>
              <w:spacing w:after="0" w:line="240" w:lineRule="auto"/>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Depth Grid Source</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655B64">
            <w:pPr>
              <w:spacing w:after="0" w:line="240" w:lineRule="auto"/>
              <w:rPr>
                <w:rFonts w:ascii="Calibri" w:eastAsia="Times New Roman" w:hAnsi="Calibri" w:cs="Calibri"/>
                <w:b/>
                <w:color w:val="FF0000"/>
                <w:sz w:val="18"/>
                <w:szCs w:val="18"/>
              </w:rPr>
            </w:pPr>
            <w:r w:rsidRPr="00F27EE9">
              <w:rPr>
                <w:rFonts w:ascii="Calibri" w:eastAsia="Times New Roman" w:hAnsi="Calibri" w:cs="Calibri"/>
                <w:b/>
                <w:color w:val="FF0000"/>
                <w:sz w:val="18"/>
                <w:szCs w:val="18"/>
              </w:rPr>
              <w:t xml:space="preserve">Modified Values </w:t>
            </w:r>
          </w:p>
        </w:tc>
        <w:tc>
          <w:tcPr>
            <w:tcW w:w="283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655B64">
            <w:pPr>
              <w:spacing w:after="0" w:line="240" w:lineRule="auto"/>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Secondary Sources</w:t>
            </w:r>
          </w:p>
        </w:tc>
        <w:tc>
          <w:tcPr>
            <w:tcW w:w="274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F27EE9" w:rsidRDefault="007C321B" w:rsidP="00655B64">
            <w:pPr>
              <w:spacing w:after="0" w:line="240" w:lineRule="auto"/>
              <w:rPr>
                <w:rFonts w:ascii="Calibri" w:eastAsia="Times New Roman" w:hAnsi="Calibri" w:cs="Calibri"/>
                <w:b/>
                <w:color w:val="000000"/>
                <w:sz w:val="18"/>
                <w:szCs w:val="18"/>
              </w:rPr>
            </w:pPr>
            <w:r w:rsidRPr="00F27EE9">
              <w:rPr>
                <w:rFonts w:ascii="Calibri" w:eastAsia="Times New Roman" w:hAnsi="Calibri" w:cs="Calibri"/>
                <w:b/>
                <w:color w:val="000000"/>
                <w:sz w:val="18"/>
                <w:szCs w:val="18"/>
              </w:rPr>
              <w:t>Hazus Input</w:t>
            </w:r>
          </w:p>
        </w:tc>
      </w:tr>
      <w:tr w:rsidR="007C321B" w:rsidRPr="00130955" w:rsidTr="007C321B">
        <w:trPr>
          <w:trHeight w:val="431"/>
        </w:trPr>
        <w:tc>
          <w:tcPr>
            <w:tcW w:w="2610" w:type="dxa"/>
            <w:tcBorders>
              <w:top w:val="nil"/>
              <w:left w:val="single" w:sz="4" w:space="0" w:color="auto"/>
              <w:bottom w:val="single" w:sz="4" w:space="0" w:color="auto"/>
              <w:right w:val="single" w:sz="4" w:space="0" w:color="auto"/>
            </w:tcBorders>
            <w:shd w:val="clear" w:color="auto" w:fill="auto"/>
            <w:hideMark/>
          </w:tcPr>
          <w:p w:rsidR="007C321B" w:rsidRPr="00130955" w:rsidRDefault="007C321B" w:rsidP="00655B64">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HEC-RAS model-backed &amp; Hazus</w:t>
            </w:r>
          </w:p>
        </w:tc>
        <w:tc>
          <w:tcPr>
            <w:tcW w:w="990" w:type="dxa"/>
            <w:tcBorders>
              <w:top w:val="nil"/>
              <w:left w:val="nil"/>
              <w:bottom w:val="single" w:sz="4" w:space="0" w:color="auto"/>
              <w:right w:val="single" w:sz="4" w:space="0" w:color="auto"/>
            </w:tcBorders>
            <w:shd w:val="clear" w:color="auto" w:fill="auto"/>
            <w:hideMark/>
          </w:tcPr>
          <w:p w:rsidR="007C321B" w:rsidRPr="00130955" w:rsidRDefault="007C321B" w:rsidP="00655B64">
            <w:pPr>
              <w:spacing w:after="0" w:line="240" w:lineRule="auto"/>
              <w:rPr>
                <w:rFonts w:ascii="Calibri" w:eastAsia="Times New Roman" w:hAnsi="Calibri" w:cs="Calibri"/>
                <w:color w:val="FF0000"/>
                <w:sz w:val="18"/>
                <w:szCs w:val="18"/>
              </w:rPr>
            </w:pPr>
            <w:r w:rsidRPr="00130955">
              <w:rPr>
                <w:rFonts w:ascii="Calibri" w:eastAsia="Times New Roman" w:hAnsi="Calibri" w:cs="Calibri"/>
                <w:color w:val="FF0000"/>
                <w:sz w:val="18"/>
                <w:szCs w:val="18"/>
              </w:rPr>
              <w:t>M-Depth</w:t>
            </w:r>
          </w:p>
        </w:tc>
        <w:tc>
          <w:tcPr>
            <w:tcW w:w="2834" w:type="dxa"/>
            <w:tcBorders>
              <w:top w:val="nil"/>
              <w:left w:val="nil"/>
              <w:bottom w:val="single" w:sz="4" w:space="0" w:color="auto"/>
              <w:right w:val="single" w:sz="4" w:space="0" w:color="auto"/>
            </w:tcBorders>
            <w:shd w:val="clear" w:color="auto" w:fill="auto"/>
            <w:hideMark/>
          </w:tcPr>
          <w:p w:rsidR="007C321B" w:rsidRPr="00130955" w:rsidRDefault="007C321B" w:rsidP="00655B64">
            <w:pPr>
              <w:spacing w:after="0" w:line="240" w:lineRule="auto"/>
              <w:rPr>
                <w:rFonts w:ascii="Calibri" w:eastAsia="Times New Roman" w:hAnsi="Calibri" w:cs="Calibri"/>
                <w:color w:val="000000"/>
                <w:sz w:val="18"/>
                <w:szCs w:val="18"/>
              </w:rPr>
            </w:pPr>
            <w:r w:rsidRPr="00130955">
              <w:rPr>
                <w:rFonts w:ascii="Calibri" w:eastAsia="Times New Roman" w:hAnsi="Calibri" w:cs="Calibri"/>
                <w:color w:val="000000"/>
                <w:sz w:val="18"/>
                <w:szCs w:val="18"/>
              </w:rPr>
              <w:t>FIRM BFE, Elevation Certificate</w:t>
            </w:r>
          </w:p>
        </w:tc>
        <w:tc>
          <w:tcPr>
            <w:tcW w:w="2746" w:type="dxa"/>
            <w:tcBorders>
              <w:top w:val="nil"/>
              <w:left w:val="nil"/>
              <w:bottom w:val="single" w:sz="4" w:space="0" w:color="auto"/>
              <w:right w:val="single" w:sz="4" w:space="0" w:color="auto"/>
            </w:tcBorders>
            <w:shd w:val="clear" w:color="auto" w:fill="auto"/>
            <w:hideMark/>
          </w:tcPr>
          <w:p w:rsidR="007C321B" w:rsidRPr="00130955" w:rsidRDefault="007C321B" w:rsidP="00655B64">
            <w:pPr>
              <w:spacing w:after="0" w:line="240" w:lineRule="auto"/>
              <w:rPr>
                <w:rFonts w:ascii="Calibri" w:eastAsia="Times New Roman" w:hAnsi="Calibri" w:cs="Calibri"/>
                <w:b/>
                <w:bCs/>
                <w:color w:val="000000"/>
                <w:sz w:val="18"/>
                <w:szCs w:val="18"/>
              </w:rPr>
            </w:pPr>
            <w:r w:rsidRPr="00130955">
              <w:rPr>
                <w:rFonts w:ascii="Calibri" w:eastAsia="Times New Roman" w:hAnsi="Calibri" w:cs="Calibri"/>
                <w:b/>
                <w:bCs/>
                <w:color w:val="000000"/>
                <w:sz w:val="18"/>
                <w:szCs w:val="18"/>
              </w:rPr>
              <w:t>Water Depth</w:t>
            </w:r>
          </w:p>
        </w:tc>
      </w:tr>
    </w:tbl>
    <w:p w:rsidR="007C321B" w:rsidRDefault="007C321B" w:rsidP="00655B64">
      <w:pPr>
        <w:pStyle w:val="Table"/>
        <w:spacing w:after="0"/>
      </w:pPr>
    </w:p>
    <w:p w:rsidR="0084432D" w:rsidRDefault="0084432D" w:rsidP="00655B64">
      <w:pPr>
        <w:pStyle w:val="TableFigure"/>
        <w:spacing w:after="0"/>
      </w:pPr>
      <w:bookmarkStart w:id="43" w:name="_Toc34317960"/>
    </w:p>
    <w:p w:rsidR="0084432D" w:rsidRDefault="0084432D" w:rsidP="00655B64">
      <w:pPr>
        <w:pStyle w:val="TableFigure"/>
        <w:spacing w:after="0"/>
      </w:pPr>
    </w:p>
    <w:p w:rsidR="007C321B" w:rsidRPr="00655B64" w:rsidRDefault="007C321B" w:rsidP="00655B64">
      <w:pPr>
        <w:pStyle w:val="TableFigure"/>
        <w:spacing w:after="0"/>
      </w:pPr>
      <w:bookmarkStart w:id="44" w:name="_Toc34388238"/>
      <w:r w:rsidRPr="00655B64">
        <w:t>Table</w:t>
      </w:r>
      <w:r w:rsidR="0084432D">
        <w:t xml:space="preserve"> 6</w:t>
      </w:r>
      <w:r w:rsidRPr="00655B64">
        <w:t>.  Hazus Mode Inputs:  Building Point</w:t>
      </w:r>
      <w:bookmarkEnd w:id="43"/>
      <w:bookmarkEnd w:id="44"/>
      <w:r w:rsidRPr="00655B64">
        <w:t xml:space="preserve"> </w:t>
      </w:r>
    </w:p>
    <w:tbl>
      <w:tblPr>
        <w:tblW w:w="9175" w:type="dxa"/>
        <w:tblLook w:val="04A0" w:firstRow="1" w:lastRow="0" w:firstColumn="1" w:lastColumn="0" w:noHBand="0" w:noVBand="1"/>
      </w:tblPr>
      <w:tblGrid>
        <w:gridCol w:w="2785"/>
        <w:gridCol w:w="3330"/>
        <w:gridCol w:w="3060"/>
      </w:tblGrid>
      <w:tr w:rsidR="007C321B" w:rsidRPr="00130955" w:rsidTr="007C321B">
        <w:trPr>
          <w:trHeight w:val="332"/>
        </w:trPr>
        <w:tc>
          <w:tcPr>
            <w:tcW w:w="2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C321B" w:rsidRPr="00D700D0" w:rsidRDefault="007C321B" w:rsidP="00655B64">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Mapping Structure Point</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D700D0" w:rsidRDefault="007C321B" w:rsidP="00655B64">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Data Sources</w:t>
            </w:r>
          </w:p>
        </w:tc>
        <w:tc>
          <w:tcPr>
            <w:tcW w:w="30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C321B" w:rsidRPr="00D700D0" w:rsidRDefault="007C321B" w:rsidP="00655B64">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Hazus Input Location</w:t>
            </w:r>
          </w:p>
        </w:tc>
      </w:tr>
      <w:tr w:rsidR="007C321B" w:rsidRPr="00130955" w:rsidTr="007C321B">
        <w:trPr>
          <w:trHeight w:val="1007"/>
        </w:trPr>
        <w:tc>
          <w:tcPr>
            <w:tcW w:w="2785" w:type="dxa"/>
            <w:tcBorders>
              <w:top w:val="nil"/>
              <w:left w:val="single" w:sz="4" w:space="0" w:color="auto"/>
              <w:bottom w:val="single" w:sz="4" w:space="0" w:color="auto"/>
              <w:right w:val="single" w:sz="4" w:space="0" w:color="auto"/>
            </w:tcBorders>
            <w:shd w:val="clear" w:color="auto" w:fill="auto"/>
            <w:hideMark/>
          </w:tcPr>
          <w:p w:rsidR="007C321B" w:rsidRPr="0020384A" w:rsidRDefault="007C321B" w:rsidP="00655B64">
            <w:pPr>
              <w:spacing w:after="0" w:line="240" w:lineRule="auto"/>
              <w:rPr>
                <w:rFonts w:ascii="Calibri" w:eastAsia="Times New Roman" w:hAnsi="Calibri" w:cs="Calibri"/>
                <w:color w:val="000000"/>
                <w:sz w:val="18"/>
                <w:szCs w:val="18"/>
              </w:rPr>
            </w:pPr>
            <w:r w:rsidRPr="0020384A">
              <w:rPr>
                <w:rFonts w:ascii="Calibri" w:eastAsia="Times New Roman" w:hAnsi="Calibri" w:cs="Calibri"/>
                <w:color w:val="000000"/>
                <w:sz w:val="18"/>
                <w:szCs w:val="18"/>
              </w:rPr>
              <w:t>Pinpoint primary building in most restrictive flood zone</w:t>
            </w:r>
          </w:p>
        </w:tc>
        <w:tc>
          <w:tcPr>
            <w:tcW w:w="3330" w:type="dxa"/>
            <w:tcBorders>
              <w:top w:val="nil"/>
              <w:left w:val="nil"/>
              <w:bottom w:val="single" w:sz="4" w:space="0" w:color="auto"/>
              <w:right w:val="single" w:sz="4" w:space="0" w:color="auto"/>
            </w:tcBorders>
            <w:shd w:val="clear" w:color="auto" w:fill="auto"/>
            <w:hideMark/>
          </w:tcPr>
          <w:p w:rsidR="007C321B" w:rsidRPr="0020384A" w:rsidRDefault="007C321B" w:rsidP="00655B64">
            <w:pPr>
              <w:spacing w:after="0" w:line="240" w:lineRule="auto"/>
              <w:rPr>
                <w:rFonts w:ascii="Calibri" w:eastAsia="Times New Roman" w:hAnsi="Calibri" w:cs="Calibri"/>
                <w:color w:val="000000"/>
                <w:sz w:val="18"/>
                <w:szCs w:val="18"/>
              </w:rPr>
            </w:pPr>
            <w:r w:rsidRPr="0020384A">
              <w:rPr>
                <w:rFonts w:ascii="Calibri" w:eastAsia="Times New Roman" w:hAnsi="Calibri" w:cs="Calibri"/>
                <w:color w:val="000000"/>
                <w:sz w:val="18"/>
                <w:szCs w:val="18"/>
              </w:rPr>
              <w:t>Building Footprint, Parcel, Site Address, Aerial Imagery, Assessment Records, Verified LOMA, Essential Facility Databases, Business Directories</w:t>
            </w:r>
          </w:p>
        </w:tc>
        <w:tc>
          <w:tcPr>
            <w:tcW w:w="3060" w:type="dxa"/>
            <w:tcBorders>
              <w:top w:val="nil"/>
              <w:left w:val="nil"/>
              <w:bottom w:val="single" w:sz="4" w:space="0" w:color="auto"/>
              <w:right w:val="single" w:sz="4" w:space="0" w:color="auto"/>
            </w:tcBorders>
            <w:shd w:val="clear" w:color="auto" w:fill="auto"/>
            <w:hideMark/>
          </w:tcPr>
          <w:p w:rsidR="007C321B" w:rsidRPr="0020384A" w:rsidRDefault="007C321B" w:rsidP="00655B64">
            <w:pPr>
              <w:spacing w:after="0" w:line="240" w:lineRule="auto"/>
              <w:rPr>
                <w:rFonts w:ascii="Calibri" w:eastAsia="Times New Roman" w:hAnsi="Calibri" w:cs="Calibri"/>
                <w:color w:val="000000"/>
                <w:sz w:val="18"/>
                <w:szCs w:val="18"/>
              </w:rPr>
            </w:pPr>
            <w:r w:rsidRPr="00D35821">
              <w:rPr>
                <w:rFonts w:ascii="Calibri" w:eastAsia="Times New Roman" w:hAnsi="Calibri" w:cs="Calibri"/>
                <w:b/>
                <w:bCs/>
                <w:color w:val="000000"/>
                <w:sz w:val="18"/>
                <w:szCs w:val="18"/>
              </w:rPr>
              <w:t>Building Point</w:t>
            </w:r>
            <w:r w:rsidRPr="0020384A">
              <w:rPr>
                <w:rFonts w:ascii="Calibri" w:eastAsia="Times New Roman" w:hAnsi="Calibri" w:cs="Calibri"/>
                <w:color w:val="000000"/>
                <w:sz w:val="18"/>
                <w:szCs w:val="18"/>
              </w:rPr>
              <w:t xml:space="preserve"> (Longitude, Latitude).  Also known as Hazus User-Defined Facility (UDF)</w:t>
            </w:r>
          </w:p>
        </w:tc>
      </w:tr>
    </w:tbl>
    <w:p w:rsidR="007C321B" w:rsidRDefault="007C321B" w:rsidP="007C321B">
      <w:pPr>
        <w:spacing w:after="0"/>
      </w:pPr>
    </w:p>
    <w:p w:rsidR="007C321B" w:rsidRDefault="007C321B" w:rsidP="007C321B">
      <w:pPr>
        <w:spacing w:after="0"/>
      </w:pPr>
    </w:p>
    <w:p w:rsidR="007C321B" w:rsidRDefault="007C321B" w:rsidP="007C321B">
      <w:pPr>
        <w:spacing w:after="0"/>
        <w:rPr>
          <w:rFonts w:ascii="Calibri" w:eastAsia="Times New Roman" w:hAnsi="Calibri" w:cs="Calibri"/>
          <w:b/>
          <w:color w:val="000000"/>
          <w:szCs w:val="20"/>
        </w:rPr>
      </w:pPr>
      <w:r>
        <w:rPr>
          <w:rFonts w:ascii="Calibri" w:eastAsia="Times New Roman" w:hAnsi="Calibri" w:cs="Calibri"/>
          <w:b/>
          <w:color w:val="000000"/>
          <w:szCs w:val="20"/>
        </w:rPr>
        <w:br w:type="page"/>
      </w:r>
    </w:p>
    <w:p w:rsidR="007C321B" w:rsidRDefault="007C321B" w:rsidP="00655B64">
      <w:pPr>
        <w:pStyle w:val="TableFigure"/>
        <w:spacing w:after="0"/>
      </w:pPr>
      <w:bookmarkStart w:id="45" w:name="_Toc34317961"/>
      <w:bookmarkStart w:id="46" w:name="_Toc34388239"/>
      <w:r w:rsidRPr="0020384A">
        <w:lastRenderedPageBreak/>
        <w:t xml:space="preserve">Table </w:t>
      </w:r>
      <w:r w:rsidR="0084432D">
        <w:t>7</w:t>
      </w:r>
      <w:r w:rsidRPr="0020384A">
        <w:t>.</w:t>
      </w:r>
      <w:r>
        <w:t xml:space="preserve">  RESIDENTIAL Basement Information from Assessment Records</w:t>
      </w:r>
      <w:bookmarkEnd w:id="45"/>
      <w:bookmarkEnd w:id="46"/>
      <w:r>
        <w:t xml:space="preserve"> </w:t>
      </w:r>
    </w:p>
    <w:tbl>
      <w:tblPr>
        <w:tblW w:w="9085" w:type="dxa"/>
        <w:tblCellMar>
          <w:left w:w="0" w:type="dxa"/>
          <w:right w:w="0" w:type="dxa"/>
        </w:tblCellMar>
        <w:tblLook w:val="04A0" w:firstRow="1" w:lastRow="0" w:firstColumn="1" w:lastColumn="0" w:noHBand="0" w:noVBand="1"/>
      </w:tblPr>
      <w:tblGrid>
        <w:gridCol w:w="1168"/>
        <w:gridCol w:w="1108"/>
        <w:gridCol w:w="2929"/>
        <w:gridCol w:w="1630"/>
        <w:gridCol w:w="2250"/>
      </w:tblGrid>
      <w:tr w:rsidR="007C321B" w:rsidTr="007C321B">
        <w:trPr>
          <w:trHeight w:val="765"/>
        </w:trPr>
        <w:tc>
          <w:tcPr>
            <w:tcW w:w="1168"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WV CAMA Assessment Code</w:t>
            </w:r>
          </w:p>
        </w:tc>
        <w:tc>
          <w:tcPr>
            <w:tcW w:w="1108"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Residential Basement Type</w:t>
            </w:r>
          </w:p>
        </w:tc>
        <w:tc>
          <w:tcPr>
            <w:tcW w:w="2929"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Residential Assessment Description</w:t>
            </w:r>
          </w:p>
        </w:tc>
        <w:tc>
          <w:tcPr>
            <w:tcW w:w="1630"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Hazus Foundation Code</w:t>
            </w:r>
          </w:p>
        </w:tc>
        <w:tc>
          <w:tcPr>
            <w:tcW w:w="2250"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rsidR="007C321B" w:rsidRDefault="007C321B" w:rsidP="007C321B">
            <w:pPr>
              <w:jc w:val="center"/>
              <w:rPr>
                <w:rFonts w:ascii="Calibri" w:hAnsi="Calibri" w:cs="Calibri"/>
                <w:b/>
                <w:bCs/>
                <w:color w:val="000000"/>
                <w:sz w:val="20"/>
                <w:szCs w:val="20"/>
              </w:rPr>
            </w:pPr>
            <w:r>
              <w:rPr>
                <w:rFonts w:ascii="Calibri" w:hAnsi="Calibri" w:cs="Calibri"/>
                <w:b/>
                <w:bCs/>
                <w:color w:val="000000"/>
                <w:sz w:val="20"/>
                <w:szCs w:val="20"/>
              </w:rPr>
              <w:t>Hazus Foundation Description</w:t>
            </w:r>
          </w:p>
        </w:tc>
      </w:tr>
      <w:tr w:rsidR="007C321B" w:rsidTr="007C321B">
        <w:trPr>
          <w:trHeight w:val="765"/>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1</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None</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NONE to indicate slab construction or no basement</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7</w:t>
            </w:r>
          </w:p>
        </w:tc>
        <w:tc>
          <w:tcPr>
            <w:tcW w:w="225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Slab-on-Grade</w:t>
            </w:r>
          </w:p>
        </w:tc>
      </w:tr>
      <w:tr w:rsidR="007C321B" w:rsidTr="007C321B">
        <w:trPr>
          <w:trHeight w:val="765"/>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2</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Crawl</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CRAWL to indicate crawl space to 1/4 basement area</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5</w:t>
            </w:r>
          </w:p>
        </w:tc>
        <w:tc>
          <w:tcPr>
            <w:tcW w:w="225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Crawlspace</w:t>
            </w:r>
          </w:p>
        </w:tc>
      </w:tr>
      <w:tr w:rsidR="007C321B" w:rsidTr="007C321B">
        <w:trPr>
          <w:trHeight w:val="510"/>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3</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Part</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PART to indicate 1/4 to 3/4 basement area</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4</w:t>
            </w:r>
          </w:p>
        </w:tc>
        <w:tc>
          <w:tcPr>
            <w:tcW w:w="2250" w:type="dxa"/>
            <w:tcBorders>
              <w:top w:val="nil"/>
              <w:left w:val="nil"/>
              <w:bottom w:val="single" w:sz="4" w:space="0" w:color="auto"/>
              <w:right w:val="single" w:sz="4" w:space="0" w:color="auto"/>
            </w:tcBorders>
            <w:shd w:val="clear" w:color="auto" w:fill="FFF9E7"/>
            <w:noWrap/>
            <w:tcMar>
              <w:top w:w="15" w:type="dxa"/>
              <w:left w:w="15" w:type="dxa"/>
              <w:bottom w:w="0" w:type="dxa"/>
              <w:right w:w="15" w:type="dxa"/>
            </w:tcMar>
            <w:vAlign w:val="bottom"/>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Basement</w:t>
            </w:r>
          </w:p>
        </w:tc>
      </w:tr>
      <w:tr w:rsidR="007C321B" w:rsidTr="007C321B">
        <w:trPr>
          <w:trHeight w:val="1155"/>
        </w:trPr>
        <w:tc>
          <w:tcPr>
            <w:tcW w:w="1168" w:type="dxa"/>
            <w:tcBorders>
              <w:top w:val="nil"/>
              <w:left w:val="single" w:sz="4" w:space="0" w:color="auto"/>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4</w:t>
            </w:r>
          </w:p>
        </w:tc>
        <w:tc>
          <w:tcPr>
            <w:tcW w:w="1108"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Full</w:t>
            </w:r>
          </w:p>
        </w:tc>
        <w:tc>
          <w:tcPr>
            <w:tcW w:w="2929"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FULL to indicate 3/4 to full basement area</w:t>
            </w:r>
          </w:p>
        </w:tc>
        <w:tc>
          <w:tcPr>
            <w:tcW w:w="163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jc w:val="center"/>
              <w:rPr>
                <w:rFonts w:ascii="Calibri" w:hAnsi="Calibri" w:cs="Calibri"/>
                <w:color w:val="000000"/>
                <w:sz w:val="20"/>
                <w:szCs w:val="20"/>
              </w:rPr>
            </w:pPr>
            <w:r>
              <w:rPr>
                <w:rFonts w:ascii="Calibri" w:hAnsi="Calibri" w:cs="Calibri"/>
                <w:color w:val="000000"/>
                <w:sz w:val="20"/>
                <w:szCs w:val="20"/>
              </w:rPr>
              <w:t>4</w:t>
            </w:r>
          </w:p>
        </w:tc>
        <w:tc>
          <w:tcPr>
            <w:tcW w:w="2250" w:type="dxa"/>
            <w:tcBorders>
              <w:top w:val="nil"/>
              <w:left w:val="nil"/>
              <w:bottom w:val="single" w:sz="4" w:space="0" w:color="auto"/>
              <w:right w:val="single" w:sz="4" w:space="0" w:color="auto"/>
            </w:tcBorders>
            <w:shd w:val="clear" w:color="auto" w:fill="FFF9E7"/>
            <w:tcMar>
              <w:top w:w="15" w:type="dxa"/>
              <w:left w:w="15" w:type="dxa"/>
              <w:bottom w:w="0" w:type="dxa"/>
              <w:right w:w="15" w:type="dxa"/>
            </w:tcMar>
            <w:vAlign w:val="center"/>
            <w:hideMark/>
          </w:tcPr>
          <w:p w:rsidR="007C321B" w:rsidRDefault="007C321B" w:rsidP="007C321B">
            <w:pPr>
              <w:rPr>
                <w:rFonts w:ascii="Calibri" w:hAnsi="Calibri" w:cs="Calibri"/>
                <w:color w:val="000000"/>
                <w:sz w:val="20"/>
                <w:szCs w:val="20"/>
              </w:rPr>
            </w:pPr>
            <w:r>
              <w:rPr>
                <w:rFonts w:ascii="Calibri" w:hAnsi="Calibri" w:cs="Calibri"/>
                <w:color w:val="000000"/>
                <w:sz w:val="20"/>
                <w:szCs w:val="20"/>
              </w:rPr>
              <w:t>Basement</w:t>
            </w:r>
          </w:p>
        </w:tc>
      </w:tr>
    </w:tbl>
    <w:p w:rsidR="007C321B" w:rsidRDefault="007C321B" w:rsidP="007C321B">
      <w:pPr>
        <w:rPr>
          <w:rFonts w:ascii="Calibri" w:eastAsia="Times New Roman" w:hAnsi="Calibri" w:cs="Calibri"/>
          <w:b/>
          <w:color w:val="000000"/>
          <w:szCs w:val="20"/>
        </w:rPr>
      </w:pPr>
    </w:p>
    <w:p w:rsidR="007C321B" w:rsidRDefault="007C321B" w:rsidP="007C321B">
      <w:pPr>
        <w:spacing w:after="0"/>
        <w:rPr>
          <w:rFonts w:ascii="Calibri" w:eastAsia="Times New Roman" w:hAnsi="Calibri" w:cs="Calibri"/>
          <w:b/>
          <w:color w:val="000000"/>
          <w:szCs w:val="20"/>
        </w:rPr>
      </w:pPr>
    </w:p>
    <w:p w:rsidR="007C321B" w:rsidRDefault="007C321B" w:rsidP="00655B64">
      <w:pPr>
        <w:pStyle w:val="TableFigure"/>
        <w:spacing w:after="0"/>
      </w:pPr>
      <w:bookmarkStart w:id="47" w:name="_Toc34317962"/>
      <w:bookmarkStart w:id="48" w:name="_Toc34388240"/>
      <w:r w:rsidRPr="0020384A">
        <w:t xml:space="preserve">Table </w:t>
      </w:r>
      <w:r w:rsidR="0084432D">
        <w:t>8</w:t>
      </w:r>
      <w:r w:rsidRPr="0020384A">
        <w:t>.</w:t>
      </w:r>
      <w:r>
        <w:t xml:space="preserve">  COMMERCIAL Basement Information from Assessment Records</w:t>
      </w:r>
      <w:bookmarkEnd w:id="47"/>
      <w:bookmarkEnd w:id="48"/>
      <w:r>
        <w:t xml:space="preserve"> </w:t>
      </w:r>
    </w:p>
    <w:tbl>
      <w:tblPr>
        <w:tblW w:w="9085" w:type="dxa"/>
        <w:tblLook w:val="04A0" w:firstRow="1" w:lastRow="0" w:firstColumn="1" w:lastColumn="0" w:noHBand="0" w:noVBand="1"/>
      </w:tblPr>
      <w:tblGrid>
        <w:gridCol w:w="1219"/>
        <w:gridCol w:w="1208"/>
        <w:gridCol w:w="2788"/>
        <w:gridCol w:w="1620"/>
        <w:gridCol w:w="2250"/>
      </w:tblGrid>
      <w:tr w:rsidR="007C321B" w:rsidRPr="007222DC" w:rsidTr="007C321B">
        <w:trPr>
          <w:trHeight w:val="765"/>
        </w:trPr>
        <w:tc>
          <w:tcPr>
            <w:tcW w:w="12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WV CAMA Assessment Floor Level</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rsidR="007C321B" w:rsidRPr="007222DC" w:rsidRDefault="007C321B" w:rsidP="007C321B">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Commercial</w:t>
            </w:r>
            <w:r w:rsidRPr="007222DC">
              <w:rPr>
                <w:rFonts w:ascii="Calibri" w:eastAsia="Times New Roman" w:hAnsi="Calibri" w:cs="Calibri"/>
                <w:b/>
                <w:bCs/>
                <w:color w:val="000000"/>
                <w:sz w:val="20"/>
                <w:szCs w:val="20"/>
              </w:rPr>
              <w:t xml:space="preserve"> Basement Type</w:t>
            </w:r>
          </w:p>
        </w:tc>
        <w:tc>
          <w:tcPr>
            <w:tcW w:w="2788" w:type="dxa"/>
            <w:tcBorders>
              <w:top w:val="single" w:sz="4" w:space="0" w:color="auto"/>
              <w:left w:val="nil"/>
              <w:bottom w:val="single" w:sz="4" w:space="0" w:color="auto"/>
              <w:right w:val="single" w:sz="4" w:space="0" w:color="auto"/>
            </w:tcBorders>
            <w:shd w:val="clear" w:color="000000" w:fill="D9D9D9"/>
            <w:vAlign w:val="center"/>
            <w:hideMark/>
          </w:tcPr>
          <w:p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Commercial Basement Description</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Hazus Foundation Code</w:t>
            </w:r>
          </w:p>
        </w:tc>
        <w:tc>
          <w:tcPr>
            <w:tcW w:w="2250" w:type="dxa"/>
            <w:tcBorders>
              <w:top w:val="single" w:sz="4" w:space="0" w:color="auto"/>
              <w:left w:val="nil"/>
              <w:bottom w:val="single" w:sz="4" w:space="0" w:color="auto"/>
              <w:right w:val="single" w:sz="4" w:space="0" w:color="auto"/>
            </w:tcBorders>
            <w:shd w:val="clear" w:color="000000" w:fill="D9D9D9"/>
            <w:vAlign w:val="center"/>
            <w:hideMark/>
          </w:tcPr>
          <w:p w:rsidR="007C321B" w:rsidRPr="007222DC" w:rsidRDefault="007C321B" w:rsidP="007C321B">
            <w:pPr>
              <w:spacing w:after="0" w:line="240" w:lineRule="auto"/>
              <w:jc w:val="center"/>
              <w:rPr>
                <w:rFonts w:ascii="Calibri" w:eastAsia="Times New Roman" w:hAnsi="Calibri" w:cs="Calibri"/>
                <w:b/>
                <w:bCs/>
                <w:color w:val="000000"/>
                <w:sz w:val="20"/>
                <w:szCs w:val="20"/>
              </w:rPr>
            </w:pPr>
            <w:r w:rsidRPr="007222DC">
              <w:rPr>
                <w:rFonts w:ascii="Calibri" w:eastAsia="Times New Roman" w:hAnsi="Calibri" w:cs="Calibri"/>
                <w:b/>
                <w:bCs/>
                <w:color w:val="000000"/>
                <w:sz w:val="20"/>
                <w:szCs w:val="20"/>
              </w:rPr>
              <w:t>Hazus Foundation Description</w:t>
            </w:r>
          </w:p>
        </w:tc>
      </w:tr>
      <w:tr w:rsidR="007C321B" w:rsidRPr="007222DC" w:rsidTr="007C321B">
        <w:trPr>
          <w:trHeight w:val="765"/>
        </w:trPr>
        <w:tc>
          <w:tcPr>
            <w:tcW w:w="1219" w:type="dxa"/>
            <w:tcBorders>
              <w:top w:val="nil"/>
              <w:left w:val="single" w:sz="4" w:space="0" w:color="auto"/>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p>
        </w:tc>
        <w:tc>
          <w:tcPr>
            <w:tcW w:w="120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None</w:t>
            </w:r>
          </w:p>
        </w:tc>
        <w:tc>
          <w:tcPr>
            <w:tcW w:w="278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 xml:space="preserve">No "B" or "C" Level values indicate no basement. </w:t>
            </w:r>
          </w:p>
        </w:tc>
        <w:tc>
          <w:tcPr>
            <w:tcW w:w="162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7</w:t>
            </w:r>
          </w:p>
        </w:tc>
        <w:tc>
          <w:tcPr>
            <w:tcW w:w="225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Slab-on-Grade</w:t>
            </w:r>
          </w:p>
        </w:tc>
      </w:tr>
      <w:tr w:rsidR="007C321B" w:rsidRPr="007222DC" w:rsidTr="007C321B">
        <w:trPr>
          <w:trHeight w:val="300"/>
        </w:trPr>
        <w:tc>
          <w:tcPr>
            <w:tcW w:w="1219" w:type="dxa"/>
            <w:tcBorders>
              <w:top w:val="nil"/>
              <w:left w:val="single" w:sz="4" w:space="0" w:color="auto"/>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C1</w:t>
            </w:r>
          </w:p>
        </w:tc>
        <w:tc>
          <w:tcPr>
            <w:tcW w:w="120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Crawl</w:t>
            </w:r>
          </w:p>
        </w:tc>
        <w:tc>
          <w:tcPr>
            <w:tcW w:w="278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Crawl Space</w:t>
            </w:r>
          </w:p>
        </w:tc>
        <w:tc>
          <w:tcPr>
            <w:tcW w:w="162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5</w:t>
            </w:r>
          </w:p>
        </w:tc>
        <w:tc>
          <w:tcPr>
            <w:tcW w:w="225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Pr>
                <w:rFonts w:ascii="Calibri" w:hAnsi="Calibri" w:cs="Calibri"/>
                <w:color w:val="000000"/>
                <w:sz w:val="20"/>
                <w:szCs w:val="20"/>
              </w:rPr>
              <w:t>Crawlspace</w:t>
            </w:r>
          </w:p>
        </w:tc>
      </w:tr>
      <w:tr w:rsidR="007C321B" w:rsidRPr="007222DC" w:rsidTr="007C321B">
        <w:trPr>
          <w:trHeight w:val="510"/>
        </w:trPr>
        <w:tc>
          <w:tcPr>
            <w:tcW w:w="1219" w:type="dxa"/>
            <w:tcBorders>
              <w:top w:val="nil"/>
              <w:left w:val="single" w:sz="4" w:space="0" w:color="auto"/>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B1</w:t>
            </w:r>
          </w:p>
        </w:tc>
        <w:tc>
          <w:tcPr>
            <w:tcW w:w="120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Basement</w:t>
            </w:r>
          </w:p>
        </w:tc>
        <w:tc>
          <w:tcPr>
            <w:tcW w:w="278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First Basement</w:t>
            </w:r>
          </w:p>
        </w:tc>
        <w:tc>
          <w:tcPr>
            <w:tcW w:w="162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225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Slab-on-Grade</w:t>
            </w:r>
          </w:p>
        </w:tc>
      </w:tr>
      <w:tr w:rsidR="007C321B" w:rsidRPr="007222DC" w:rsidTr="007C321B">
        <w:trPr>
          <w:trHeight w:val="510"/>
        </w:trPr>
        <w:tc>
          <w:tcPr>
            <w:tcW w:w="1219" w:type="dxa"/>
            <w:tcBorders>
              <w:top w:val="nil"/>
              <w:left w:val="single" w:sz="4" w:space="0" w:color="auto"/>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B2-B5</w:t>
            </w:r>
          </w:p>
        </w:tc>
        <w:tc>
          <w:tcPr>
            <w:tcW w:w="120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Sub</w:t>
            </w:r>
            <w:r>
              <w:rPr>
                <w:rFonts w:ascii="Calibri" w:eastAsia="Times New Roman" w:hAnsi="Calibri" w:cs="Calibri"/>
                <w:color w:val="000000"/>
                <w:sz w:val="20"/>
                <w:szCs w:val="20"/>
              </w:rPr>
              <w:t>-</w:t>
            </w:r>
            <w:r w:rsidRPr="007222DC">
              <w:rPr>
                <w:rFonts w:ascii="Calibri" w:eastAsia="Times New Roman" w:hAnsi="Calibri" w:cs="Calibri"/>
                <w:color w:val="000000"/>
                <w:sz w:val="20"/>
                <w:szCs w:val="20"/>
              </w:rPr>
              <w:t xml:space="preserve"> Basement</w:t>
            </w:r>
          </w:p>
        </w:tc>
        <w:tc>
          <w:tcPr>
            <w:tcW w:w="2788"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Second Basement.  Up to 5 sub basements</w:t>
            </w:r>
          </w:p>
        </w:tc>
        <w:tc>
          <w:tcPr>
            <w:tcW w:w="1620" w:type="dxa"/>
            <w:tcBorders>
              <w:top w:val="nil"/>
              <w:left w:val="nil"/>
              <w:bottom w:val="single" w:sz="4" w:space="0" w:color="auto"/>
              <w:right w:val="single" w:sz="4" w:space="0" w:color="auto"/>
            </w:tcBorders>
            <w:shd w:val="clear" w:color="000000" w:fill="FFF2CC"/>
            <w:vAlign w:val="center"/>
            <w:hideMark/>
          </w:tcPr>
          <w:p w:rsidR="007C321B" w:rsidRPr="007222DC" w:rsidRDefault="007C321B" w:rsidP="007C321B">
            <w:pPr>
              <w:spacing w:after="0" w:line="240" w:lineRule="auto"/>
              <w:jc w:val="center"/>
              <w:rPr>
                <w:rFonts w:ascii="Calibri" w:eastAsia="Times New Roman" w:hAnsi="Calibri" w:cs="Calibri"/>
                <w:color w:val="000000"/>
                <w:sz w:val="20"/>
                <w:szCs w:val="20"/>
              </w:rPr>
            </w:pPr>
            <w:r w:rsidRPr="007222DC">
              <w:rPr>
                <w:rFonts w:ascii="Calibri" w:eastAsia="Times New Roman" w:hAnsi="Calibri" w:cs="Calibri"/>
                <w:color w:val="000000"/>
                <w:sz w:val="20"/>
                <w:szCs w:val="20"/>
              </w:rPr>
              <w:t>4</w:t>
            </w:r>
          </w:p>
        </w:tc>
        <w:tc>
          <w:tcPr>
            <w:tcW w:w="2250" w:type="dxa"/>
            <w:tcBorders>
              <w:top w:val="nil"/>
              <w:left w:val="nil"/>
              <w:bottom w:val="single" w:sz="4" w:space="0" w:color="auto"/>
              <w:right w:val="single" w:sz="4" w:space="0" w:color="auto"/>
            </w:tcBorders>
            <w:shd w:val="clear" w:color="000000" w:fill="FFF2CC"/>
            <w:noWrap/>
            <w:vAlign w:val="bottom"/>
            <w:hideMark/>
          </w:tcPr>
          <w:p w:rsidR="007C321B" w:rsidRPr="007222DC" w:rsidRDefault="007C321B" w:rsidP="007C321B">
            <w:pPr>
              <w:spacing w:after="0" w:line="240" w:lineRule="auto"/>
              <w:rPr>
                <w:rFonts w:ascii="Calibri" w:eastAsia="Times New Roman" w:hAnsi="Calibri" w:cs="Calibri"/>
                <w:color w:val="000000"/>
                <w:sz w:val="20"/>
                <w:szCs w:val="20"/>
              </w:rPr>
            </w:pPr>
            <w:r w:rsidRPr="007222DC">
              <w:rPr>
                <w:rFonts w:ascii="Calibri" w:eastAsia="Times New Roman" w:hAnsi="Calibri" w:cs="Calibri"/>
                <w:color w:val="000000"/>
                <w:sz w:val="20"/>
                <w:szCs w:val="20"/>
              </w:rPr>
              <w:t>Basement</w:t>
            </w:r>
          </w:p>
        </w:tc>
      </w:tr>
    </w:tbl>
    <w:p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t xml:space="preserve"> </w:t>
      </w:r>
      <w:r>
        <w:rPr>
          <w:rFonts w:ascii="Calibri" w:eastAsia="Times New Roman" w:hAnsi="Calibri" w:cs="Calibri"/>
          <w:b/>
          <w:color w:val="000000"/>
          <w:szCs w:val="20"/>
        </w:rPr>
        <w:br w:type="page"/>
      </w:r>
    </w:p>
    <w:p w:rsidR="007C321B" w:rsidRDefault="007C321B" w:rsidP="007C321B">
      <w:pPr>
        <w:rPr>
          <w:rFonts w:ascii="Calibri" w:eastAsia="Times New Roman" w:hAnsi="Calibri" w:cs="Calibri"/>
          <w:b/>
          <w:color w:val="000000"/>
          <w:szCs w:val="20"/>
        </w:rPr>
      </w:pPr>
    </w:p>
    <w:p w:rsidR="007C321B" w:rsidRDefault="007C321B" w:rsidP="00655B64">
      <w:pPr>
        <w:pStyle w:val="TableFigure"/>
        <w:spacing w:after="0"/>
      </w:pPr>
      <w:bookmarkStart w:id="49" w:name="_Toc34317963"/>
      <w:bookmarkStart w:id="50" w:name="_Toc34388241"/>
      <w:r w:rsidRPr="0020384A">
        <w:t xml:space="preserve">Table </w:t>
      </w:r>
      <w:r w:rsidR="0084432D">
        <w:t>9</w:t>
      </w:r>
      <w:r w:rsidRPr="0020384A">
        <w:t>.</w:t>
      </w:r>
      <w:r>
        <w:t xml:space="preserve">  Foundation Type, Foundation Code, First Floor Height for Hazus Flood Model</w:t>
      </w:r>
      <w:bookmarkEnd w:id="49"/>
      <w:bookmarkEnd w:id="50"/>
    </w:p>
    <w:tbl>
      <w:tblPr>
        <w:tblW w:w="9927" w:type="dxa"/>
        <w:tblInd w:w="-90" w:type="dxa"/>
        <w:tblLook w:val="04A0" w:firstRow="1" w:lastRow="0" w:firstColumn="1" w:lastColumn="0" w:noHBand="0" w:noVBand="1"/>
      </w:tblPr>
      <w:tblGrid>
        <w:gridCol w:w="1530"/>
        <w:gridCol w:w="1074"/>
        <w:gridCol w:w="1074"/>
        <w:gridCol w:w="955"/>
        <w:gridCol w:w="1937"/>
        <w:gridCol w:w="1102"/>
        <w:gridCol w:w="1236"/>
        <w:gridCol w:w="1012"/>
        <w:gridCol w:w="7"/>
      </w:tblGrid>
      <w:tr w:rsidR="007C321B" w:rsidRPr="0016401C" w:rsidTr="007C321B">
        <w:trPr>
          <w:trHeight w:val="300"/>
        </w:trPr>
        <w:tc>
          <w:tcPr>
            <w:tcW w:w="1530" w:type="dxa"/>
            <w:tcBorders>
              <w:top w:val="nil"/>
              <w:left w:val="nil"/>
              <w:bottom w:val="nil"/>
              <w:right w:val="nil"/>
            </w:tcBorders>
            <w:shd w:val="clear" w:color="auto" w:fill="auto"/>
            <w:noWrap/>
            <w:vAlign w:val="bottom"/>
            <w:hideMark/>
          </w:tcPr>
          <w:p w:rsidR="007C321B" w:rsidRPr="0016401C" w:rsidRDefault="007C321B" w:rsidP="007C321B">
            <w:pPr>
              <w:spacing w:after="0" w:line="240" w:lineRule="auto"/>
              <w:rPr>
                <w:rFonts w:ascii="Times New Roman" w:eastAsia="Times New Roman" w:hAnsi="Times New Roman" w:cs="Times New Roman"/>
                <w:sz w:val="24"/>
                <w:szCs w:val="24"/>
              </w:rPr>
            </w:pPr>
          </w:p>
        </w:tc>
        <w:tc>
          <w:tcPr>
            <w:tcW w:w="5040" w:type="dxa"/>
            <w:gridSpan w:val="4"/>
            <w:tcBorders>
              <w:top w:val="single" w:sz="4" w:space="0" w:color="auto"/>
              <w:left w:val="single" w:sz="4" w:space="0" w:color="auto"/>
              <w:bottom w:val="single" w:sz="4" w:space="0" w:color="auto"/>
              <w:right w:val="single" w:sz="4" w:space="0" w:color="000000"/>
            </w:tcBorders>
            <w:shd w:val="clear" w:color="auto" w:fill="F8BDBA" w:themeFill="text2" w:themeFillTint="33"/>
            <w:noWrap/>
            <w:vAlign w:val="bottom"/>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Foundation Type</w:t>
            </w:r>
          </w:p>
        </w:tc>
        <w:tc>
          <w:tcPr>
            <w:tcW w:w="3357" w:type="dxa"/>
            <w:gridSpan w:val="4"/>
            <w:tcBorders>
              <w:top w:val="single" w:sz="4" w:space="0" w:color="auto"/>
              <w:left w:val="nil"/>
              <w:bottom w:val="single" w:sz="4" w:space="0" w:color="auto"/>
              <w:right w:val="single" w:sz="4" w:space="0" w:color="000000"/>
            </w:tcBorders>
            <w:shd w:val="clear" w:color="auto" w:fill="FDE9D9" w:themeFill="accent6" w:themeFillTint="33"/>
            <w:noWrap/>
            <w:vAlign w:val="bottom"/>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First Floor Height</w:t>
            </w:r>
          </w:p>
        </w:tc>
      </w:tr>
      <w:tr w:rsidR="007C321B" w:rsidRPr="0016401C" w:rsidTr="007C321B">
        <w:trPr>
          <w:gridAfter w:val="1"/>
          <w:wAfter w:w="7" w:type="dxa"/>
          <w:trHeight w:val="480"/>
        </w:trPr>
        <w:tc>
          <w:tcPr>
            <w:tcW w:w="1530" w:type="dxa"/>
            <w:tcBorders>
              <w:top w:val="single" w:sz="4" w:space="0" w:color="auto"/>
              <w:left w:val="single" w:sz="4" w:space="0" w:color="auto"/>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WV Assessment Record Values for BASEMENT</w:t>
            </w:r>
          </w:p>
        </w:tc>
        <w:tc>
          <w:tcPr>
            <w:tcW w:w="1074"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bCs/>
                <w:color w:val="000000"/>
                <w:sz w:val="18"/>
                <w:szCs w:val="18"/>
              </w:rPr>
            </w:pPr>
            <w:r w:rsidRPr="00D700D0">
              <w:rPr>
                <w:rFonts w:ascii="Calibri" w:eastAsia="Times New Roman" w:hAnsi="Calibri" w:cs="Calibri"/>
                <w:b/>
                <w:bCs/>
                <w:color w:val="000000"/>
                <w:sz w:val="18"/>
                <w:szCs w:val="18"/>
              </w:rPr>
              <w:t>Foundation Type</w:t>
            </w:r>
          </w:p>
        </w:tc>
        <w:tc>
          <w:tcPr>
            <w:tcW w:w="1074"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bCs/>
                <w:color w:val="000000"/>
                <w:sz w:val="18"/>
                <w:szCs w:val="18"/>
              </w:rPr>
            </w:pPr>
            <w:r w:rsidRPr="00D700D0">
              <w:rPr>
                <w:rFonts w:ascii="Calibri" w:eastAsia="Times New Roman" w:hAnsi="Calibri" w:cs="Calibri"/>
                <w:b/>
                <w:bCs/>
                <w:color w:val="000000"/>
                <w:sz w:val="18"/>
                <w:szCs w:val="18"/>
              </w:rPr>
              <w:t xml:space="preserve">Foundation Code </w:t>
            </w:r>
          </w:p>
        </w:tc>
        <w:tc>
          <w:tcPr>
            <w:tcW w:w="937"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color w:val="FF0000"/>
                <w:sz w:val="18"/>
                <w:szCs w:val="18"/>
              </w:rPr>
            </w:pPr>
            <w:r w:rsidRPr="00D700D0">
              <w:rPr>
                <w:rFonts w:ascii="Calibri" w:eastAsia="Times New Roman" w:hAnsi="Calibri" w:cs="Calibri"/>
                <w:b/>
                <w:color w:val="FF0000"/>
                <w:sz w:val="18"/>
                <w:szCs w:val="18"/>
              </w:rPr>
              <w:t>Modified-</w:t>
            </w:r>
            <w:proofErr w:type="spellStart"/>
            <w:r w:rsidRPr="00D700D0">
              <w:rPr>
                <w:rFonts w:ascii="Calibri" w:eastAsia="Times New Roman" w:hAnsi="Calibri" w:cs="Calibri"/>
                <w:b/>
                <w:color w:val="FF0000"/>
                <w:sz w:val="18"/>
                <w:szCs w:val="18"/>
              </w:rPr>
              <w:t>FdtnCode</w:t>
            </w:r>
            <w:proofErr w:type="spellEnd"/>
          </w:p>
        </w:tc>
        <w:tc>
          <w:tcPr>
            <w:tcW w:w="1955"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color w:val="000000"/>
                <w:sz w:val="18"/>
                <w:szCs w:val="18"/>
              </w:rPr>
            </w:pPr>
            <w:r w:rsidRPr="00D700D0">
              <w:rPr>
                <w:rFonts w:ascii="Calibri" w:eastAsia="Times New Roman" w:hAnsi="Calibri" w:cs="Calibri"/>
                <w:b/>
                <w:color w:val="000000"/>
                <w:sz w:val="18"/>
                <w:szCs w:val="18"/>
              </w:rPr>
              <w:t>Description</w:t>
            </w:r>
          </w:p>
        </w:tc>
        <w:tc>
          <w:tcPr>
            <w:tcW w:w="1102"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bCs/>
                <w:color w:val="000000"/>
                <w:sz w:val="18"/>
                <w:szCs w:val="18"/>
              </w:rPr>
            </w:pPr>
            <w:proofErr w:type="spellStart"/>
            <w:r w:rsidRPr="00D700D0">
              <w:rPr>
                <w:rFonts w:ascii="Calibri" w:eastAsia="Times New Roman" w:hAnsi="Calibri" w:cs="Calibri"/>
                <w:b/>
                <w:bCs/>
                <w:color w:val="000000"/>
                <w:sz w:val="18"/>
                <w:szCs w:val="18"/>
              </w:rPr>
              <w:t>FirstFloorHt</w:t>
            </w:r>
            <w:proofErr w:type="spellEnd"/>
            <w:r w:rsidRPr="00D700D0">
              <w:rPr>
                <w:rFonts w:ascii="Calibri" w:eastAsia="Times New Roman" w:hAnsi="Calibri" w:cs="Calibri"/>
                <w:b/>
                <w:bCs/>
                <w:color w:val="000000"/>
                <w:sz w:val="18"/>
                <w:szCs w:val="18"/>
              </w:rPr>
              <w:t xml:space="preserve"> (PRE-FIRM) ft.</w:t>
            </w:r>
          </w:p>
        </w:tc>
        <w:tc>
          <w:tcPr>
            <w:tcW w:w="1236"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bCs/>
                <w:color w:val="000000"/>
                <w:sz w:val="18"/>
                <w:szCs w:val="18"/>
              </w:rPr>
            </w:pPr>
            <w:proofErr w:type="spellStart"/>
            <w:r w:rsidRPr="00D700D0">
              <w:rPr>
                <w:rFonts w:ascii="Calibri" w:eastAsia="Times New Roman" w:hAnsi="Calibri" w:cs="Calibri"/>
                <w:b/>
                <w:bCs/>
                <w:color w:val="000000"/>
                <w:sz w:val="18"/>
                <w:szCs w:val="18"/>
              </w:rPr>
              <w:t>FirstFloorHt</w:t>
            </w:r>
            <w:proofErr w:type="spellEnd"/>
            <w:r w:rsidRPr="00D700D0">
              <w:rPr>
                <w:rFonts w:ascii="Calibri" w:eastAsia="Times New Roman" w:hAnsi="Calibri" w:cs="Calibri"/>
                <w:b/>
                <w:bCs/>
                <w:color w:val="000000"/>
                <w:sz w:val="18"/>
                <w:szCs w:val="18"/>
              </w:rPr>
              <w:t xml:space="preserve"> (POST-FIRM) ft.</w:t>
            </w:r>
          </w:p>
        </w:tc>
        <w:tc>
          <w:tcPr>
            <w:tcW w:w="1012" w:type="dxa"/>
            <w:tcBorders>
              <w:top w:val="nil"/>
              <w:left w:val="nil"/>
              <w:bottom w:val="single" w:sz="4" w:space="0" w:color="auto"/>
              <w:right w:val="single" w:sz="4" w:space="0" w:color="auto"/>
            </w:tcBorders>
            <w:shd w:val="clear" w:color="000000" w:fill="EDEDED"/>
            <w:vAlign w:val="center"/>
            <w:hideMark/>
          </w:tcPr>
          <w:p w:rsidR="007C321B" w:rsidRPr="00D700D0" w:rsidRDefault="007C321B" w:rsidP="007C321B">
            <w:pPr>
              <w:spacing w:after="0" w:line="240" w:lineRule="auto"/>
              <w:jc w:val="center"/>
              <w:rPr>
                <w:rFonts w:ascii="Calibri" w:eastAsia="Times New Roman" w:hAnsi="Calibri" w:cs="Calibri"/>
                <w:b/>
                <w:color w:val="FF0000"/>
                <w:sz w:val="18"/>
                <w:szCs w:val="18"/>
              </w:rPr>
            </w:pPr>
            <w:r w:rsidRPr="00D700D0">
              <w:rPr>
                <w:rFonts w:ascii="Calibri" w:eastAsia="Times New Roman" w:hAnsi="Calibri" w:cs="Calibri"/>
                <w:b/>
                <w:color w:val="FF0000"/>
                <w:sz w:val="18"/>
                <w:szCs w:val="18"/>
              </w:rPr>
              <w:t>Modified-FFH</w:t>
            </w:r>
          </w:p>
        </w:tc>
      </w:tr>
      <w:tr w:rsidR="007C321B" w:rsidRPr="0016401C" w:rsidTr="007C321B">
        <w:trPr>
          <w:gridAfter w:val="1"/>
          <w:wAfter w:w="7" w:type="dxa"/>
          <w:trHeight w:val="1118"/>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Pile</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1</w:t>
            </w:r>
          </w:p>
        </w:tc>
        <w:tc>
          <w:tcPr>
            <w:tcW w:w="937"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1</w:t>
            </w:r>
          </w:p>
        </w:tc>
        <w:tc>
          <w:tcPr>
            <w:tcW w:w="1955"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Piles support an elevated structure and consist of multiple columns driven into the ground and embedded several feet below grade.</w:t>
            </w:r>
          </w:p>
        </w:tc>
        <w:tc>
          <w:tcPr>
            <w:tcW w:w="110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7.0</w:t>
            </w:r>
          </w:p>
        </w:tc>
        <w:tc>
          <w:tcPr>
            <w:tcW w:w="1236"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8.0</w:t>
            </w:r>
          </w:p>
        </w:tc>
        <w:tc>
          <w:tcPr>
            <w:tcW w:w="101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rsidTr="007C321B">
        <w:trPr>
          <w:gridAfter w:val="1"/>
          <w:wAfter w:w="7" w:type="dxa"/>
          <w:trHeight w:val="1200"/>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Pier</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2</w:t>
            </w:r>
          </w:p>
        </w:tc>
        <w:tc>
          <w:tcPr>
            <w:tcW w:w="937"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2</w:t>
            </w:r>
          </w:p>
        </w:tc>
        <w:tc>
          <w:tcPr>
            <w:tcW w:w="1955"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This system is often used on manufactured housing and consists of multiple small piers or post that support the structure and are shallowly embedded into the ground.</w:t>
            </w:r>
          </w:p>
        </w:tc>
        <w:tc>
          <w:tcPr>
            <w:tcW w:w="110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5.0</w:t>
            </w:r>
          </w:p>
        </w:tc>
        <w:tc>
          <w:tcPr>
            <w:tcW w:w="1236"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6.0</w:t>
            </w:r>
          </w:p>
        </w:tc>
        <w:tc>
          <w:tcPr>
            <w:tcW w:w="101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rsidTr="007C321B">
        <w:trPr>
          <w:gridAfter w:val="1"/>
          <w:wAfter w:w="7" w:type="dxa"/>
          <w:trHeight w:val="582"/>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Solid Wall</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3</w:t>
            </w:r>
          </w:p>
        </w:tc>
        <w:tc>
          <w:tcPr>
            <w:tcW w:w="937"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3</w:t>
            </w:r>
          </w:p>
        </w:tc>
        <w:tc>
          <w:tcPr>
            <w:tcW w:w="1955"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Load-bearing perimeter walls greater than 4 ft. in height, usually supported by shallow footings.</w:t>
            </w:r>
          </w:p>
        </w:tc>
        <w:tc>
          <w:tcPr>
            <w:tcW w:w="110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7.0</w:t>
            </w:r>
          </w:p>
        </w:tc>
        <w:tc>
          <w:tcPr>
            <w:tcW w:w="1236"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8.0</w:t>
            </w:r>
          </w:p>
        </w:tc>
        <w:tc>
          <w:tcPr>
            <w:tcW w:w="101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rsidTr="007C321B">
        <w:trPr>
          <w:gridAfter w:val="1"/>
          <w:wAfter w:w="7" w:type="dxa"/>
          <w:trHeight w:val="975"/>
        </w:trPr>
        <w:tc>
          <w:tcPr>
            <w:tcW w:w="1530" w:type="dxa"/>
            <w:tcBorders>
              <w:top w:val="nil"/>
              <w:left w:val="single" w:sz="4" w:space="0" w:color="auto"/>
              <w:bottom w:val="single" w:sz="4" w:space="0" w:color="auto"/>
              <w:right w:val="single" w:sz="4" w:space="0" w:color="auto"/>
            </w:tcBorders>
            <w:shd w:val="clear" w:color="auto" w:fill="F9F7F0" w:themeFill="accent4" w:themeFillTint="33"/>
            <w:vAlign w:val="center"/>
            <w:hideMark/>
          </w:tcPr>
          <w:p w:rsidR="007C321B"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FULL</w:t>
            </w:r>
            <w:r w:rsidRPr="0016401C">
              <w:rPr>
                <w:rFonts w:ascii="Calibri" w:eastAsia="Times New Roman" w:hAnsi="Calibri" w:cs="Calibri"/>
                <w:color w:val="000000"/>
                <w:sz w:val="18"/>
                <w:szCs w:val="18"/>
              </w:rPr>
              <w:t xml:space="preserve"> or </w:t>
            </w:r>
            <w:r w:rsidRPr="0016401C">
              <w:rPr>
                <w:rFonts w:ascii="Calibri" w:eastAsia="Times New Roman" w:hAnsi="Calibri" w:cs="Calibri"/>
                <w:b/>
                <w:bCs/>
                <w:color w:val="000000"/>
                <w:sz w:val="18"/>
                <w:szCs w:val="18"/>
              </w:rPr>
              <w:t xml:space="preserve">PART </w:t>
            </w:r>
            <w:r>
              <w:rPr>
                <w:rFonts w:ascii="Calibri" w:eastAsia="Times New Roman" w:hAnsi="Calibri" w:cs="Calibri"/>
                <w:color w:val="000000"/>
                <w:sz w:val="18"/>
                <w:szCs w:val="18"/>
              </w:rPr>
              <w:t>(Residential)</w:t>
            </w:r>
          </w:p>
          <w:p w:rsidR="007C321B" w:rsidRDefault="007C321B" w:rsidP="007C321B">
            <w:pPr>
              <w:spacing w:after="0" w:line="240" w:lineRule="auto"/>
              <w:rPr>
                <w:rFonts w:ascii="Calibri" w:eastAsia="Times New Roman" w:hAnsi="Calibri" w:cs="Calibri"/>
                <w:color w:val="000000"/>
                <w:sz w:val="18"/>
                <w:szCs w:val="18"/>
              </w:rPr>
            </w:pPr>
          </w:p>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FIRST BASEMENT</w:t>
            </w:r>
            <w:r w:rsidRPr="0016401C">
              <w:rPr>
                <w:rFonts w:ascii="Calibri" w:eastAsia="Times New Roman" w:hAnsi="Calibri" w:cs="Calibri"/>
                <w:color w:val="000000"/>
                <w:sz w:val="18"/>
                <w:szCs w:val="18"/>
              </w:rPr>
              <w:t xml:space="preserve">, </w:t>
            </w:r>
            <w:r w:rsidRPr="0016401C">
              <w:rPr>
                <w:rFonts w:ascii="Calibri" w:eastAsia="Times New Roman" w:hAnsi="Calibri" w:cs="Calibri"/>
                <w:b/>
                <w:bCs/>
                <w:color w:val="000000"/>
                <w:sz w:val="18"/>
                <w:szCs w:val="18"/>
              </w:rPr>
              <w:t xml:space="preserve">SUB BASEMENT </w:t>
            </w:r>
            <w:r w:rsidRPr="0016401C">
              <w:rPr>
                <w:rFonts w:ascii="Calibri" w:eastAsia="Times New Roman" w:hAnsi="Calibri" w:cs="Calibri"/>
                <w:color w:val="000000"/>
                <w:sz w:val="18"/>
                <w:szCs w:val="18"/>
              </w:rPr>
              <w:t>(Commercial)</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Basement</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4</w:t>
            </w:r>
          </w:p>
        </w:tc>
        <w:tc>
          <w:tcPr>
            <w:tcW w:w="937"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4</w:t>
            </w:r>
          </w:p>
        </w:tc>
        <w:tc>
          <w:tcPr>
            <w:tcW w:w="1955"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Structure that has any floor beneath grade.</w:t>
            </w:r>
          </w:p>
        </w:tc>
        <w:tc>
          <w:tcPr>
            <w:tcW w:w="1102"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4.0</w:t>
            </w:r>
          </w:p>
        </w:tc>
        <w:tc>
          <w:tcPr>
            <w:tcW w:w="1236"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4.0</w:t>
            </w:r>
          </w:p>
        </w:tc>
        <w:tc>
          <w:tcPr>
            <w:tcW w:w="1012"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rsidTr="007C321B">
        <w:trPr>
          <w:gridAfter w:val="1"/>
          <w:wAfter w:w="7" w:type="dxa"/>
          <w:trHeight w:val="1200"/>
        </w:trPr>
        <w:tc>
          <w:tcPr>
            <w:tcW w:w="1530" w:type="dxa"/>
            <w:tcBorders>
              <w:top w:val="nil"/>
              <w:left w:val="single" w:sz="4" w:space="0" w:color="auto"/>
              <w:bottom w:val="single" w:sz="4" w:space="0" w:color="auto"/>
              <w:right w:val="single" w:sz="4" w:space="0" w:color="auto"/>
            </w:tcBorders>
            <w:shd w:val="clear" w:color="auto" w:fill="F9F7F0" w:themeFill="accent4" w:themeFillTint="33"/>
            <w:vAlign w:val="center"/>
            <w:hideMark/>
          </w:tcPr>
          <w:p w:rsidR="007C321B"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CRAWL</w:t>
            </w:r>
            <w:r>
              <w:rPr>
                <w:rFonts w:ascii="Calibri" w:eastAsia="Times New Roman" w:hAnsi="Calibri" w:cs="Calibri"/>
                <w:color w:val="000000"/>
                <w:sz w:val="18"/>
                <w:szCs w:val="18"/>
              </w:rPr>
              <w:t xml:space="preserve"> (Residential)</w:t>
            </w:r>
            <w:r>
              <w:rPr>
                <w:rFonts w:ascii="Calibri" w:eastAsia="Times New Roman" w:hAnsi="Calibri" w:cs="Calibri"/>
                <w:color w:val="000000"/>
                <w:sz w:val="18"/>
                <w:szCs w:val="18"/>
              </w:rPr>
              <w:br/>
            </w:r>
          </w:p>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b/>
                <w:bCs/>
                <w:color w:val="000000"/>
                <w:sz w:val="18"/>
                <w:szCs w:val="18"/>
              </w:rPr>
              <w:t>CRAWL  SPACE</w:t>
            </w:r>
            <w:r w:rsidRPr="0016401C">
              <w:rPr>
                <w:rFonts w:ascii="Calibri" w:eastAsia="Times New Roman" w:hAnsi="Calibri" w:cs="Calibri"/>
                <w:color w:val="000000"/>
                <w:sz w:val="18"/>
                <w:szCs w:val="18"/>
              </w:rPr>
              <w:t xml:space="preserve"> (Commercial) </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Crawlspace</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5</w:t>
            </w:r>
          </w:p>
        </w:tc>
        <w:tc>
          <w:tcPr>
            <w:tcW w:w="937"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5</w:t>
            </w:r>
          </w:p>
        </w:tc>
        <w:tc>
          <w:tcPr>
            <w:tcW w:w="1955"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Short load bearing masonry or concrete wall.  Default for Trailers RES2 Occupancy Class.  If there is no Building Year then an average 3.5 feet is used for the First Floor Height.</w:t>
            </w:r>
          </w:p>
        </w:tc>
        <w:tc>
          <w:tcPr>
            <w:tcW w:w="1102"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3.0</w:t>
            </w:r>
          </w:p>
        </w:tc>
        <w:tc>
          <w:tcPr>
            <w:tcW w:w="1236"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4.0</w:t>
            </w:r>
          </w:p>
        </w:tc>
        <w:tc>
          <w:tcPr>
            <w:tcW w:w="1012"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rsidTr="007C321B">
        <w:trPr>
          <w:gridAfter w:val="1"/>
          <w:wAfter w:w="7" w:type="dxa"/>
          <w:trHeight w:val="480"/>
        </w:trPr>
        <w:tc>
          <w:tcPr>
            <w:tcW w:w="1530" w:type="dxa"/>
            <w:tcBorders>
              <w:top w:val="nil"/>
              <w:left w:val="single" w:sz="4" w:space="0" w:color="auto"/>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 </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Fill</w:t>
            </w:r>
          </w:p>
        </w:tc>
        <w:tc>
          <w:tcPr>
            <w:tcW w:w="1074"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6</w:t>
            </w:r>
          </w:p>
        </w:tc>
        <w:tc>
          <w:tcPr>
            <w:tcW w:w="937"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6</w:t>
            </w:r>
          </w:p>
        </w:tc>
        <w:tc>
          <w:tcPr>
            <w:tcW w:w="1955"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Soil built up above the ground elevation.</w:t>
            </w:r>
          </w:p>
        </w:tc>
        <w:tc>
          <w:tcPr>
            <w:tcW w:w="110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2.0</w:t>
            </w:r>
          </w:p>
        </w:tc>
        <w:tc>
          <w:tcPr>
            <w:tcW w:w="1236"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2.0</w:t>
            </w:r>
          </w:p>
        </w:tc>
        <w:tc>
          <w:tcPr>
            <w:tcW w:w="1012" w:type="dxa"/>
            <w:tcBorders>
              <w:top w:val="nil"/>
              <w:left w:val="nil"/>
              <w:bottom w:val="single" w:sz="4" w:space="0" w:color="auto"/>
              <w:right w:val="single" w:sz="4" w:space="0" w:color="auto"/>
            </w:tcBorders>
            <w:shd w:val="clear" w:color="auto" w:fill="auto"/>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r w:rsidR="007C321B" w:rsidRPr="0016401C" w:rsidTr="007C321B">
        <w:trPr>
          <w:gridAfter w:val="1"/>
          <w:wAfter w:w="7" w:type="dxa"/>
          <w:trHeight w:val="720"/>
        </w:trPr>
        <w:tc>
          <w:tcPr>
            <w:tcW w:w="1530" w:type="dxa"/>
            <w:tcBorders>
              <w:top w:val="nil"/>
              <w:left w:val="single" w:sz="4" w:space="0" w:color="auto"/>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 xml:space="preserve">NONE </w:t>
            </w:r>
            <w:r w:rsidRPr="0016401C">
              <w:rPr>
                <w:rFonts w:ascii="Calibri" w:eastAsia="Times New Roman" w:hAnsi="Calibri" w:cs="Calibri"/>
                <w:color w:val="000000"/>
                <w:sz w:val="18"/>
                <w:szCs w:val="18"/>
              </w:rPr>
              <w:t>or blank</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Slab-on-Grade</w:t>
            </w:r>
          </w:p>
        </w:tc>
        <w:tc>
          <w:tcPr>
            <w:tcW w:w="1074"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b/>
                <w:bCs/>
                <w:color w:val="000000"/>
                <w:sz w:val="18"/>
                <w:szCs w:val="18"/>
              </w:rPr>
            </w:pPr>
            <w:r w:rsidRPr="0016401C">
              <w:rPr>
                <w:rFonts w:ascii="Calibri" w:eastAsia="Times New Roman" w:hAnsi="Calibri" w:cs="Calibri"/>
                <w:b/>
                <w:bCs/>
                <w:color w:val="000000"/>
                <w:sz w:val="18"/>
                <w:szCs w:val="18"/>
              </w:rPr>
              <w:t>7</w:t>
            </w:r>
          </w:p>
        </w:tc>
        <w:tc>
          <w:tcPr>
            <w:tcW w:w="937"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7</w:t>
            </w:r>
          </w:p>
        </w:tc>
        <w:tc>
          <w:tcPr>
            <w:tcW w:w="1955"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rPr>
                <w:rFonts w:ascii="Calibri" w:eastAsia="Times New Roman" w:hAnsi="Calibri" w:cs="Calibri"/>
                <w:color w:val="000000"/>
                <w:sz w:val="18"/>
                <w:szCs w:val="18"/>
              </w:rPr>
            </w:pPr>
            <w:r w:rsidRPr="0016401C">
              <w:rPr>
                <w:rFonts w:ascii="Calibri" w:eastAsia="Times New Roman" w:hAnsi="Calibri" w:cs="Calibri"/>
                <w:color w:val="000000"/>
                <w:sz w:val="18"/>
                <w:szCs w:val="18"/>
              </w:rPr>
              <w:t>Concrete slab resting on the ground. Default if no basement value except for Trailers (RES2 Occupancy Class).</w:t>
            </w:r>
          </w:p>
        </w:tc>
        <w:tc>
          <w:tcPr>
            <w:tcW w:w="1102"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1.0</w:t>
            </w:r>
          </w:p>
        </w:tc>
        <w:tc>
          <w:tcPr>
            <w:tcW w:w="1236"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000000"/>
                <w:sz w:val="18"/>
                <w:szCs w:val="18"/>
              </w:rPr>
            </w:pPr>
            <w:r w:rsidRPr="0016401C">
              <w:rPr>
                <w:rFonts w:ascii="Calibri" w:eastAsia="Times New Roman" w:hAnsi="Calibri" w:cs="Calibri"/>
                <w:color w:val="000000"/>
                <w:sz w:val="18"/>
                <w:szCs w:val="18"/>
              </w:rPr>
              <w:t>1.0</w:t>
            </w:r>
          </w:p>
        </w:tc>
        <w:tc>
          <w:tcPr>
            <w:tcW w:w="1012" w:type="dxa"/>
            <w:tcBorders>
              <w:top w:val="nil"/>
              <w:left w:val="nil"/>
              <w:bottom w:val="single" w:sz="4" w:space="0" w:color="auto"/>
              <w:right w:val="single" w:sz="4" w:space="0" w:color="auto"/>
            </w:tcBorders>
            <w:shd w:val="clear" w:color="auto" w:fill="F9F7F0" w:themeFill="accent4" w:themeFillTint="33"/>
            <w:vAlign w:val="center"/>
            <w:hideMark/>
          </w:tcPr>
          <w:p w:rsidR="007C321B" w:rsidRPr="0016401C" w:rsidRDefault="007C321B" w:rsidP="007C321B">
            <w:pPr>
              <w:spacing w:after="0" w:line="240" w:lineRule="auto"/>
              <w:jc w:val="center"/>
              <w:rPr>
                <w:rFonts w:ascii="Calibri" w:eastAsia="Times New Roman" w:hAnsi="Calibri" w:cs="Calibri"/>
                <w:color w:val="FF0000"/>
                <w:sz w:val="18"/>
                <w:szCs w:val="18"/>
              </w:rPr>
            </w:pPr>
            <w:r w:rsidRPr="0016401C">
              <w:rPr>
                <w:rFonts w:ascii="Calibri" w:eastAsia="Times New Roman" w:hAnsi="Calibri" w:cs="Calibri"/>
                <w:color w:val="FF0000"/>
                <w:sz w:val="18"/>
                <w:szCs w:val="18"/>
              </w:rPr>
              <w:t>&lt;value&gt;</w:t>
            </w:r>
          </w:p>
        </w:tc>
      </w:tr>
    </w:tbl>
    <w:p w:rsidR="007C321B" w:rsidRDefault="007C321B" w:rsidP="007C321B">
      <w:r w:rsidRPr="000C0D2F">
        <w:rPr>
          <w:sz w:val="20"/>
          <w:szCs w:val="20"/>
        </w:rPr>
        <w:t>Note:   Basement values of assessment records for residential and commercial properties are used to generate Foundation Codes 4 (Basement),5 (Crawlspace), and 7 (No Basement</w:t>
      </w:r>
      <w:r>
        <w:t>).</w:t>
      </w:r>
    </w:p>
    <w:p w:rsidR="007C321B" w:rsidRDefault="007C321B" w:rsidP="007C321B"/>
    <w:p w:rsidR="007C321B" w:rsidRDefault="007C321B" w:rsidP="007C321B"/>
    <w:p w:rsidR="007C321B" w:rsidRDefault="007C321B" w:rsidP="00655B64">
      <w:pPr>
        <w:pStyle w:val="TableFigure"/>
        <w:spacing w:after="0"/>
      </w:pPr>
      <w:r>
        <w:br w:type="page"/>
      </w:r>
      <w:bookmarkStart w:id="51" w:name="_Toc34317964"/>
      <w:bookmarkStart w:id="52" w:name="_Toc34388242"/>
      <w:r w:rsidRPr="0020384A">
        <w:lastRenderedPageBreak/>
        <w:t xml:space="preserve">Table </w:t>
      </w:r>
      <w:r w:rsidR="0084432D">
        <w:t>10</w:t>
      </w:r>
      <w:r w:rsidRPr="0020384A">
        <w:t>.</w:t>
      </w:r>
      <w:r>
        <w:t xml:space="preserve">  Hazus Occupancy Class Descriptions</w:t>
      </w:r>
      <w:bookmarkEnd w:id="51"/>
      <w:bookmarkEnd w:id="52"/>
    </w:p>
    <w:tbl>
      <w:tblPr>
        <w:tblW w:w="9980" w:type="dxa"/>
        <w:tblLook w:val="04A0" w:firstRow="1" w:lastRow="0" w:firstColumn="1" w:lastColumn="0" w:noHBand="0" w:noVBand="1"/>
      </w:tblPr>
      <w:tblGrid>
        <w:gridCol w:w="768"/>
        <w:gridCol w:w="2844"/>
        <w:gridCol w:w="1079"/>
        <w:gridCol w:w="5305"/>
      </w:tblGrid>
      <w:tr w:rsidR="007C321B" w:rsidRPr="006143B3" w:rsidTr="007C321B">
        <w:trPr>
          <w:trHeight w:val="480"/>
          <w:tblHeader/>
        </w:trPr>
        <w:tc>
          <w:tcPr>
            <w:tcW w:w="7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Hazus Label</w:t>
            </w:r>
          </w:p>
        </w:tc>
        <w:tc>
          <w:tcPr>
            <w:tcW w:w="284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Occupancy Class</w:t>
            </w:r>
          </w:p>
        </w:tc>
        <w:tc>
          <w:tcPr>
            <w:tcW w:w="107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Standard Industrial Codes (SIC)</w:t>
            </w:r>
          </w:p>
        </w:tc>
        <w:tc>
          <w:tcPr>
            <w:tcW w:w="530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Description</w:t>
            </w:r>
            <w:r>
              <w:rPr>
                <w:rFonts w:ascii="Calibri" w:eastAsia="Times New Roman" w:hAnsi="Calibri" w:cs="Calibri"/>
                <w:b/>
                <w:bCs/>
                <w:color w:val="000000"/>
                <w:sz w:val="18"/>
                <w:szCs w:val="18"/>
              </w:rPr>
              <w:t xml:space="preserve"> / Notes</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Residential</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Single Family Dwelling</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RES2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Mobile Home</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DE2EDE" w:rsidRDefault="007C321B" w:rsidP="007C321B">
            <w:pPr>
              <w:spacing w:after="0" w:line="240" w:lineRule="auto"/>
              <w:rPr>
                <w:rFonts w:ascii="Calibri" w:eastAsia="Times New Roman" w:hAnsi="Calibri" w:cs="Calibri"/>
                <w:sz w:val="18"/>
                <w:szCs w:val="18"/>
              </w:rPr>
            </w:pPr>
            <w:r w:rsidRPr="00DE2EDE">
              <w:rPr>
                <w:rFonts w:ascii="Calibri" w:eastAsia="Times New Roman" w:hAnsi="Calibri" w:cs="Calibri"/>
                <w:sz w:val="18"/>
                <w:szCs w:val="18"/>
              </w:rPr>
              <w:t>A titled owner of a mobile home, house trailer, or manufactured home has the option to convert their home to real property and obtain a deed in place of a certificate of title if it has been permanently affixed to real property.  Owner-occupied property is designated as Tax Class = 2.  The following default values are used for missing attributes.  Foundation Type = Crawlspace; Single</w:t>
            </w:r>
            <w:r>
              <w:rPr>
                <w:rFonts w:ascii="Calibri" w:eastAsia="Times New Roman" w:hAnsi="Calibri" w:cs="Calibri"/>
                <w:sz w:val="18"/>
                <w:szCs w:val="18"/>
              </w:rPr>
              <w:t xml:space="preserve"> W</w:t>
            </w:r>
            <w:r w:rsidRPr="00DE2EDE">
              <w:rPr>
                <w:rFonts w:ascii="Calibri" w:eastAsia="Times New Roman" w:hAnsi="Calibri" w:cs="Calibri"/>
                <w:sz w:val="18"/>
                <w:szCs w:val="18"/>
              </w:rPr>
              <w:t xml:space="preserve">ide Trailer: </w:t>
            </w:r>
            <w:r>
              <w:rPr>
                <w:rFonts w:ascii="Calibri" w:eastAsia="Times New Roman" w:hAnsi="Calibri" w:cs="Calibri"/>
                <w:sz w:val="18"/>
                <w:szCs w:val="18"/>
              </w:rPr>
              <w:t>Avg. Value = $23</w:t>
            </w:r>
            <w:r w:rsidRPr="00DE2EDE">
              <w:rPr>
                <w:rFonts w:ascii="Calibri" w:eastAsia="Times New Roman" w:hAnsi="Calibri" w:cs="Calibri"/>
                <w:sz w:val="18"/>
                <w:szCs w:val="18"/>
              </w:rPr>
              <w:t>,000 and Area = 1,000 sq. ft.; Double</w:t>
            </w:r>
            <w:r>
              <w:rPr>
                <w:rFonts w:ascii="Calibri" w:eastAsia="Times New Roman" w:hAnsi="Calibri" w:cs="Calibri"/>
                <w:sz w:val="18"/>
                <w:szCs w:val="18"/>
              </w:rPr>
              <w:t xml:space="preserve"> W</w:t>
            </w:r>
            <w:r w:rsidRPr="00DE2EDE">
              <w:rPr>
                <w:rFonts w:ascii="Calibri" w:eastAsia="Times New Roman" w:hAnsi="Calibri" w:cs="Calibri"/>
                <w:sz w:val="18"/>
                <w:szCs w:val="18"/>
              </w:rPr>
              <w:t xml:space="preserve">ide Trailer:  </w:t>
            </w:r>
            <w:r>
              <w:rPr>
                <w:rFonts w:ascii="Calibri" w:eastAsia="Times New Roman" w:hAnsi="Calibri" w:cs="Calibri"/>
                <w:sz w:val="18"/>
                <w:szCs w:val="18"/>
              </w:rPr>
              <w:t>Value = $46</w:t>
            </w:r>
            <w:r w:rsidRPr="00DE2EDE">
              <w:rPr>
                <w:rFonts w:ascii="Calibri" w:eastAsia="Times New Roman" w:hAnsi="Calibri" w:cs="Calibri"/>
                <w:sz w:val="18"/>
                <w:szCs w:val="18"/>
              </w:rPr>
              <w:t>,000 and Area = 2,000 sq. ft.</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RES3A</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Duplex</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RES3B</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3-4 Units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RES3C</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5-9 Units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RES3D</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10-19 Units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RES3E</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20-49 Units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RES3F</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Multi Family Dwelling – 50+ Units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9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RES4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Temporary Lodging</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70</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Hotels, motels, boarding houses, sports and recreation camps, recreational vehicle parks and campsites, lodging houses, and hotels open to the public operated by membership organizations for the benefit of constituents </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RES5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Institutional Dormitory</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12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RES6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Nursing Home</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8051, 8052, 8059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Skilled or intermediate nursing care facilities providing continuous or non-continuous nursing and rehabilitative services to patients, personal care facilities providing inpatient nursing and rehabilitative services to people with special mental or physical condition </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Commercial</w:t>
            </w:r>
          </w:p>
        </w:tc>
      </w:tr>
      <w:tr w:rsidR="007C321B" w:rsidRPr="006143B3" w:rsidTr="007C321B">
        <w:trPr>
          <w:trHeight w:val="28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Retail Trade</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52, 53, 54, 55, 56, 57, 59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Establishments selling lumber and a general line of building materials, basic hardware lines, garden supplies, plants and mobile homes, department stores, supermarkets, grocery stores, food stores, fruit and vegetable markets, confectionary stores, dairy product stores, bakeries, motor vehicle and boat dealers, gasoline service stations, clothing, accessory and shoe stores, furniture and household appliance stores, electronics and computer software stores, drug stores, liquor stores, tobacco stores and stands, sporting goods and bicycle stores, book and stationary stores, jewelry stores, camera and photographic supply stores, toy and game shops, gift shops, luggage and leather goods stores, florists, etc. </w:t>
            </w:r>
          </w:p>
        </w:tc>
      </w:tr>
      <w:tr w:rsidR="007C321B" w:rsidRPr="006143B3" w:rsidTr="007C321B">
        <w:trPr>
          <w:trHeight w:val="241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lastRenderedPageBreak/>
              <w:t xml:space="preserve">COM2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Wholesale Trade</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42, 50, 51</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Trucking with or without storage, courier services except by air, general, farm product and refrigerated warehousing and storage, terminal facilities for motor freight transportation, wholesale and distribution of motor vehicles and parts, furniture, electrical appliances, hardware, lumber and wood products, construction materials, office equipment, medical equipment and drugs, metals, coal, minerals, petroleum products, agricultural, industrial and construction machinery, livestock, groceries, food and beverages, paper, clothing, footwear and accessories, plastics, chemicals, etc. </w:t>
            </w:r>
          </w:p>
        </w:tc>
      </w:tr>
      <w:tr w:rsidR="007C321B" w:rsidRPr="006143B3" w:rsidTr="007C321B">
        <w:trPr>
          <w:trHeight w:val="152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COM3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Personal and Repair Services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72, 75, 76, 83, 88</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Laundry and dry-cleaning, photography, beauty and hair styling services, funeral services, tax return preparation services, rental vehicles, automobile parking services, automotive repair and paint shops, car washes, appliance and furniture repair shops, social services, job training and vocational rehabilitation services, child daycare services, and private households</w:t>
            </w:r>
          </w:p>
        </w:tc>
      </w:tr>
      <w:tr w:rsidR="007C321B" w:rsidRPr="006143B3" w:rsidTr="007C321B">
        <w:trPr>
          <w:trHeight w:val="3428"/>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COM4 </w:t>
            </w:r>
          </w:p>
        </w:tc>
        <w:tc>
          <w:tcPr>
            <w:tcW w:w="2844"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Business/Professional/Technical Services</w:t>
            </w:r>
          </w:p>
        </w:tc>
        <w:tc>
          <w:tcPr>
            <w:tcW w:w="1079"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40, 41, 44, 45, 46, 47, 49, 61, 62, 63, 64, 65, 67, 73, 78 (except 7832), 81, 87, 89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Railroads establishments, local and suburban transit, school buses, transportation terminals and service facilities, water transportation, air transportation, travel agencies, packing and crating, petroleum pipelines, electric services, water supply, sewerage systems, refuse systems, steam and air conditioning supply, irrigation systems, credit institutions and agencies, mortgage bankers and loan correspondents, dealers and flotation companies, security and commodity exchanges, investment advice, all types of insurance, building operators, real estate agents and managers, land or cemetery sub-dividers and developers, holding and investor companies, advertising agencies, building cleaning and maintenance services, heavy construction equipment rental, medical equipment rental, employment agencies, computer programming services, motion picture production, legal services, engineering and architectural services, research organizations, and management services        </w:t>
            </w:r>
          </w:p>
        </w:tc>
      </w:tr>
      <w:tr w:rsidR="007C321B" w:rsidRPr="006143B3" w:rsidTr="007C321B">
        <w:trPr>
          <w:trHeight w:val="7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COM5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Depository Institutions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60</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Federal reserve banks, central reserve depository institutions, commercial banks, saving institutions, credit unions, branches of foreign banks, and non-deposit trust facilities</w:t>
            </w:r>
          </w:p>
        </w:tc>
      </w:tr>
      <w:tr w:rsidR="007C321B" w:rsidRPr="006143B3"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COM6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Hospital</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8062, 8063, 8069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General medical and surgical hospitals, psychiatric hospitals, and specialty hospitals</w:t>
            </w:r>
          </w:p>
        </w:tc>
      </w:tr>
      <w:tr w:rsidR="007C321B" w:rsidRPr="006143B3" w:rsidTr="007C321B">
        <w:trPr>
          <w:trHeight w:val="9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COM7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Medical Office/Clinic</w:t>
            </w:r>
          </w:p>
        </w:tc>
        <w:tc>
          <w:tcPr>
            <w:tcW w:w="1079"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80 (except 8051, 8052, 8059, 8062, 8063, 8069)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Offices and clinics of doctors of medicine, dentists, osteopathy, chiropractors, optometrists, podiatrists, health practitioners, medical and dental laboratories, home health care services, and kidney dialysis centers</w:t>
            </w:r>
          </w:p>
        </w:tc>
      </w:tr>
      <w:tr w:rsidR="007C321B" w:rsidRPr="006143B3" w:rsidTr="007C321B">
        <w:trPr>
          <w:trHeight w:val="1772"/>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COM8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Entertainment &amp; Recreation </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48, 58, 79 (except 7911), 84</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Radiotelephone, telephone, telegraph and other message communications, radio or television broadcasting stations, cable and other pay television services, eating and drinking places, theatrical producers, bands, orchestras, actors, and other entertainers, bowling centers, professional sports clubs and promoters, racing including track operations, physical fitness facilities, public golf courses, amusement parks and devices, and membership sports and recreation clubs  </w:t>
            </w:r>
          </w:p>
        </w:tc>
      </w:tr>
      <w:tr w:rsidR="007C321B" w:rsidRPr="006143B3"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COM9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Theaters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7832, 7911</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Motion picture theaters except drive-in and dance studios, schools and halls</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lastRenderedPageBreak/>
              <w:t>COM10</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Parking</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Default="007C321B" w:rsidP="007C321B">
            <w:pPr>
              <w:spacing w:after="0" w:line="240" w:lineRule="auto"/>
              <w:jc w:val="center"/>
              <w:rPr>
                <w:rFonts w:ascii="Calibri" w:eastAsia="Times New Roman" w:hAnsi="Calibri" w:cs="Calibri"/>
                <w:b/>
                <w:bCs/>
                <w:color w:val="000000"/>
                <w:sz w:val="18"/>
                <w:szCs w:val="18"/>
              </w:rPr>
            </w:pPr>
          </w:p>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Industrial</w:t>
            </w:r>
          </w:p>
        </w:tc>
      </w:tr>
      <w:tr w:rsidR="007C321B" w:rsidRPr="006143B3" w:rsidTr="007C321B">
        <w:trPr>
          <w:trHeight w:val="269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Heavy</w:t>
            </w:r>
          </w:p>
        </w:tc>
        <w:tc>
          <w:tcPr>
            <w:tcW w:w="1079"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22, 24, 26, 32, 34, 35 (except 3571, 3572), 37</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Fabric, textile, carpets and rugs, logging, structural wood members, mobile homes, prefabricated wood or metal buildings and components, paper and cardboard products, sanitary food containers, plastics, foil and paper bags, glass products, cement, brick and structural clay tile, ceramic tiles, china bathroom accessories, kitchen articles, electrical supplies, wire products, cut stone and products, concrete products, lime, gypsum, mineral wool, metal products, turbines, agricultural, construction, mining and petroleum machinery, industrial patterns and machinery, power-driven hand tools, office machines, building equipment such as elevators, air conditioning and heating machinery, motor vehicles, aircrafts, ships and boats, and railroad equipment  </w:t>
            </w:r>
          </w:p>
        </w:tc>
      </w:tr>
      <w:tr w:rsidR="007C321B" w:rsidRPr="006143B3" w:rsidTr="007C321B">
        <w:trPr>
          <w:trHeight w:val="21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IND2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Light</w:t>
            </w:r>
          </w:p>
        </w:tc>
        <w:tc>
          <w:tcPr>
            <w:tcW w:w="1079"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23, 25, 27, 30, 31, 36 (except 3671, 3672, 3674), 38, 39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Clothing, footwear and accessories, household furniture, office and store furniture and fixtures, public building furniture, household appliances, printing and publishing, tires and other rubber products, plastics products, power generators and transformers, carbon and graphite products, lighting fixtures and equipment, audio and video equipment, electronic components, batteries, laboratory instruments, measuring and controlling devices, surgical and medical instruments, musical instruments, toys and games, sporting and athletic goods</w:t>
            </w:r>
          </w:p>
        </w:tc>
      </w:tr>
      <w:tr w:rsidR="007C321B" w:rsidRPr="006143B3" w:rsidTr="007C321B">
        <w:trPr>
          <w:trHeight w:val="1331"/>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IND3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Food/Drugs/Chemicals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20, 21, 28, 29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Meat products, dairy and creamery, vegetables, canned, dried and frozen food, bakery products, confectionary products, table oils, beverages, pet food, tobacco products,  manufactured ice, industrial chemicals, medicinal chemicals, detergents, perfumes and cosmetics, fertilizers, pesticides and other agricultural chemicals, adhesives, explosives, petroleum refining, asphalt, and lubricating oils     </w:t>
            </w:r>
          </w:p>
        </w:tc>
      </w:tr>
      <w:tr w:rsidR="007C321B" w:rsidRPr="006143B3" w:rsidTr="007C321B">
        <w:trPr>
          <w:trHeight w:val="145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IND4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Metals/Minerals Processing</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10, 12, 13, 14, 33</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Iron, copper, lead, zinc, gold, silver, ferroalloy, uranium, radium and vanadium mining services, steel, aluminum and copper works, surface and underground coal mining and services, petroleum and natural gas exploration and field services, stones, sand and gravel, clay, ceramic, refractory mineral and other nonmetallic mineral services</w:t>
            </w:r>
          </w:p>
        </w:tc>
      </w:tr>
      <w:tr w:rsidR="007C321B" w:rsidRPr="006143B3"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IND5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High Technology</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3571, 3572, 3671, 3672, 3674</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Electronic computers, computer storage devices, electron tubes, printed circuit boards, semiconductors and related services</w:t>
            </w:r>
          </w:p>
        </w:tc>
      </w:tr>
      <w:tr w:rsidR="007C321B" w:rsidRPr="006143B3" w:rsidTr="007C321B">
        <w:trPr>
          <w:trHeight w:val="217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IND6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Construction</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15, 16, 17</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General contractors of residential and non-residential buildings, operative builders, highway, street, bridge and tunnel construction, water and sewer pipelines, communications and power line construction, demolition and excavation work, masonry and stone work, concrete work, structural steel erection, plumbing, heating and air-conditioning, electrical work, carpentry work, glazing work, painting and paper hanging, water well drilling, and installation of building equipment</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Default="007C321B" w:rsidP="007C321B">
            <w:pPr>
              <w:spacing w:after="0" w:line="240" w:lineRule="auto"/>
              <w:jc w:val="center"/>
              <w:rPr>
                <w:rFonts w:ascii="Calibri" w:eastAsia="Times New Roman" w:hAnsi="Calibri" w:cs="Calibri"/>
                <w:b/>
                <w:bCs/>
                <w:color w:val="000000"/>
                <w:sz w:val="18"/>
                <w:szCs w:val="18"/>
              </w:rPr>
            </w:pPr>
          </w:p>
          <w:p w:rsidR="007C321B" w:rsidRDefault="007C321B" w:rsidP="007C321B">
            <w:pPr>
              <w:spacing w:after="0" w:line="240" w:lineRule="auto"/>
              <w:jc w:val="center"/>
              <w:rPr>
                <w:rFonts w:ascii="Calibri" w:eastAsia="Times New Roman" w:hAnsi="Calibri" w:cs="Calibri"/>
                <w:b/>
                <w:bCs/>
                <w:color w:val="000000"/>
                <w:sz w:val="18"/>
                <w:szCs w:val="18"/>
              </w:rPr>
            </w:pPr>
          </w:p>
          <w:p w:rsidR="007C321B" w:rsidRDefault="007C321B" w:rsidP="007C321B">
            <w:pPr>
              <w:spacing w:after="0" w:line="240" w:lineRule="auto"/>
              <w:jc w:val="center"/>
              <w:rPr>
                <w:rFonts w:ascii="Calibri" w:eastAsia="Times New Roman" w:hAnsi="Calibri" w:cs="Calibri"/>
                <w:b/>
                <w:bCs/>
                <w:color w:val="000000"/>
                <w:sz w:val="18"/>
                <w:szCs w:val="18"/>
              </w:rPr>
            </w:pPr>
          </w:p>
          <w:p w:rsidR="007C321B" w:rsidRDefault="007C321B" w:rsidP="007C321B">
            <w:pPr>
              <w:spacing w:after="0" w:line="240" w:lineRule="auto"/>
              <w:jc w:val="center"/>
              <w:rPr>
                <w:rFonts w:ascii="Calibri" w:eastAsia="Times New Roman" w:hAnsi="Calibri" w:cs="Calibri"/>
                <w:b/>
                <w:bCs/>
                <w:color w:val="000000"/>
                <w:sz w:val="18"/>
                <w:szCs w:val="18"/>
              </w:rPr>
            </w:pPr>
          </w:p>
          <w:p w:rsidR="007C321B" w:rsidRDefault="007C321B" w:rsidP="007C321B">
            <w:pPr>
              <w:spacing w:after="0" w:line="240" w:lineRule="auto"/>
              <w:jc w:val="center"/>
              <w:rPr>
                <w:rFonts w:ascii="Calibri" w:eastAsia="Times New Roman" w:hAnsi="Calibri" w:cs="Calibri"/>
                <w:b/>
                <w:bCs/>
                <w:color w:val="000000"/>
                <w:sz w:val="18"/>
                <w:szCs w:val="18"/>
              </w:rPr>
            </w:pPr>
          </w:p>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Agriculture</w:t>
            </w:r>
          </w:p>
        </w:tc>
      </w:tr>
      <w:tr w:rsidR="007C321B" w:rsidRPr="006143B3" w:rsidTr="007C321B">
        <w:trPr>
          <w:trHeight w:val="16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lastRenderedPageBreak/>
              <w:t xml:space="preserve">AGR1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Agriculture</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01, 02, 07, 08, 09</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Production of cereals, cotton, tobacco, sugarcane and sugar beets, vegetables, fruits, ornamental nursery products, cattle, hogs, sheep and goats, poultry, horses, dairy farms, soil preparation services, crop planting, protection and harvesting, crop preparation for market, veterinary services, farm labor contractors and management services, landscape counseling and planning, timber and forestry services, fishing and hunting     </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Religion/Non-Profit</w:t>
            </w:r>
          </w:p>
        </w:tc>
      </w:tr>
      <w:tr w:rsidR="007C321B" w:rsidRPr="006143B3" w:rsidTr="007C321B">
        <w:trPr>
          <w:trHeight w:val="7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REL1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Church/Membership Organizations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86</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Professional and business membership organizations, labor unions, civic, social and fraternal associations, political organizations, and religious organizations  </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Government</w:t>
            </w:r>
          </w:p>
        </w:tc>
      </w:tr>
      <w:tr w:rsidR="007C321B" w:rsidRPr="006143B3" w:rsidTr="007C321B">
        <w:trPr>
          <w:trHeight w:val="28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GOV1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General Services</w:t>
            </w:r>
          </w:p>
        </w:tc>
        <w:tc>
          <w:tcPr>
            <w:tcW w:w="1079"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43, 91, 92 (except 9221, 9224), 93, 94, 95, 96, 97</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United States postal service, executive offices, legislative bodies, courts, legal counsel and prosecution, correctional institutions, public order and safety, public finance, taxation and monetary policy, administration of educational, health, social and general economic programs, administration of veterans’ affairs, management of air, water and solid waste, conservation of land, minerals, wildlife and forests, administration of housing programs, urban planning and rural development, regulation and administration of transportation, communications and utilities, regulation of agricultural marketing, space research and technology, national security, and international affairs</w:t>
            </w:r>
          </w:p>
        </w:tc>
      </w:tr>
      <w:tr w:rsidR="007C321B" w:rsidRPr="006143B3" w:rsidTr="007C321B">
        <w:trPr>
          <w:trHeight w:val="300"/>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GOV2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Emergency Response</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9221, 9224</w:t>
            </w:r>
          </w:p>
        </w:tc>
        <w:tc>
          <w:tcPr>
            <w:tcW w:w="5305"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Police and fire protection</w:t>
            </w:r>
          </w:p>
        </w:tc>
      </w:tr>
      <w:tr w:rsidR="007C321B" w:rsidRPr="006143B3" w:rsidTr="007C321B">
        <w:trPr>
          <w:trHeight w:val="30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jc w:val="center"/>
              <w:rPr>
                <w:rFonts w:ascii="Calibri" w:eastAsia="Times New Roman" w:hAnsi="Calibri" w:cs="Calibri"/>
                <w:b/>
                <w:bCs/>
                <w:color w:val="000000"/>
                <w:sz w:val="18"/>
                <w:szCs w:val="18"/>
              </w:rPr>
            </w:pPr>
            <w:r w:rsidRPr="006143B3">
              <w:rPr>
                <w:rFonts w:ascii="Calibri" w:eastAsia="Times New Roman" w:hAnsi="Calibri" w:cs="Calibri"/>
                <w:b/>
                <w:bCs/>
                <w:color w:val="000000"/>
                <w:sz w:val="18"/>
                <w:szCs w:val="18"/>
              </w:rPr>
              <w:t>Education</w:t>
            </w:r>
          </w:p>
        </w:tc>
      </w:tr>
      <w:tr w:rsidR="007C321B" w:rsidRPr="006143B3" w:rsidTr="007C321B">
        <w:trPr>
          <w:trHeight w:val="73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EDU1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Schools/Libraries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82 (except 8221, 8222)</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Elementary and secondary schools, libraries, data processing schools, business and secretarial schools, and educational services</w:t>
            </w:r>
          </w:p>
        </w:tc>
      </w:tr>
      <w:tr w:rsidR="007C321B" w:rsidRPr="006143B3" w:rsidTr="007C321B">
        <w:trPr>
          <w:trHeight w:val="495"/>
        </w:trPr>
        <w:tc>
          <w:tcPr>
            <w:tcW w:w="752" w:type="dxa"/>
            <w:tcBorders>
              <w:top w:val="nil"/>
              <w:left w:val="single" w:sz="4" w:space="0" w:color="auto"/>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 xml:space="preserve">EDU2 </w:t>
            </w:r>
          </w:p>
        </w:tc>
        <w:tc>
          <w:tcPr>
            <w:tcW w:w="2844"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Colleges/Universities</w:t>
            </w:r>
          </w:p>
        </w:tc>
        <w:tc>
          <w:tcPr>
            <w:tcW w:w="1079" w:type="dxa"/>
            <w:tcBorders>
              <w:top w:val="nil"/>
              <w:left w:val="nil"/>
              <w:bottom w:val="single" w:sz="4" w:space="0" w:color="auto"/>
              <w:right w:val="single" w:sz="4" w:space="0" w:color="auto"/>
            </w:tcBorders>
            <w:shd w:val="clear" w:color="auto" w:fill="auto"/>
            <w:noWrap/>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8221, 8222</w:t>
            </w:r>
          </w:p>
        </w:tc>
        <w:tc>
          <w:tcPr>
            <w:tcW w:w="5305" w:type="dxa"/>
            <w:tcBorders>
              <w:top w:val="nil"/>
              <w:left w:val="nil"/>
              <w:bottom w:val="single" w:sz="4" w:space="0" w:color="auto"/>
              <w:right w:val="single" w:sz="4" w:space="0" w:color="auto"/>
            </w:tcBorders>
            <w:shd w:val="clear" w:color="auto" w:fill="auto"/>
            <w:vAlign w:val="center"/>
            <w:hideMark/>
          </w:tcPr>
          <w:p w:rsidR="007C321B" w:rsidRPr="006143B3" w:rsidRDefault="007C321B" w:rsidP="007C321B">
            <w:pPr>
              <w:spacing w:after="0" w:line="240" w:lineRule="auto"/>
              <w:rPr>
                <w:rFonts w:ascii="Calibri" w:eastAsia="Times New Roman" w:hAnsi="Calibri" w:cs="Calibri"/>
                <w:color w:val="000000"/>
                <w:sz w:val="18"/>
                <w:szCs w:val="18"/>
              </w:rPr>
            </w:pPr>
            <w:r w:rsidRPr="006143B3">
              <w:rPr>
                <w:rFonts w:ascii="Calibri" w:eastAsia="Times New Roman" w:hAnsi="Calibri" w:cs="Calibri"/>
                <w:color w:val="000000"/>
                <w:sz w:val="18"/>
                <w:szCs w:val="18"/>
              </w:rPr>
              <w:t>Colleges, universities, professional schools, junior colleges, and technical institutes</w:t>
            </w:r>
          </w:p>
        </w:tc>
      </w:tr>
    </w:tbl>
    <w:p w:rsidR="007C321B" w:rsidRDefault="007C321B" w:rsidP="007C321B"/>
    <w:p w:rsidR="007C321B" w:rsidRDefault="007C321B" w:rsidP="007C321B">
      <w:r>
        <w:br w:type="page"/>
      </w:r>
    </w:p>
    <w:p w:rsidR="007C321B" w:rsidRDefault="007C321B" w:rsidP="007C321B">
      <w:pPr>
        <w:spacing w:after="0"/>
      </w:pPr>
      <w:bookmarkStart w:id="53" w:name="_Toc34388243"/>
      <w:bookmarkStart w:id="54" w:name="_Toc34317965"/>
      <w:r w:rsidRPr="00655B64">
        <w:rPr>
          <w:rStyle w:val="TableFigureChar"/>
        </w:rPr>
        <w:lastRenderedPageBreak/>
        <w:t>Table 1</w:t>
      </w:r>
      <w:r w:rsidR="0084432D">
        <w:rPr>
          <w:rStyle w:val="TableFigureChar"/>
        </w:rPr>
        <w:t>1</w:t>
      </w:r>
      <w:r w:rsidRPr="00655B64">
        <w:rPr>
          <w:rStyle w:val="TableFigureChar"/>
        </w:rPr>
        <w:t>.  WV Assessment Land Use Codes</w:t>
      </w:r>
      <w:bookmarkEnd w:id="53"/>
      <w:r w:rsidRPr="00655B64">
        <w:rPr>
          <w:rStyle w:val="TableChar"/>
          <w:rFonts w:eastAsiaTheme="minorHAnsi"/>
          <w:b w:val="0"/>
        </w:rPr>
        <w:t>.</w:t>
      </w:r>
      <w:bookmarkEnd w:id="54"/>
      <w:r>
        <w:rPr>
          <w:rStyle w:val="TableChar"/>
          <w:rFonts w:eastAsiaTheme="minorHAnsi"/>
        </w:rPr>
        <w:t xml:space="preserve"> </w:t>
      </w:r>
      <w:r>
        <w:rPr>
          <w:rFonts w:ascii="Calibri" w:eastAsia="Times New Roman" w:hAnsi="Calibri" w:cs="Calibri"/>
          <w:color w:val="000000"/>
          <w:szCs w:val="20"/>
        </w:rPr>
        <w:t>186 LUCs Classified to 33 Hazus Occupancy Class Types</w:t>
      </w:r>
    </w:p>
    <w:tbl>
      <w:tblPr>
        <w:tblW w:w="9900" w:type="dxa"/>
        <w:tblLook w:val="04A0" w:firstRow="1" w:lastRow="0" w:firstColumn="1" w:lastColumn="0" w:noHBand="0" w:noVBand="1"/>
      </w:tblPr>
      <w:tblGrid>
        <w:gridCol w:w="500"/>
        <w:gridCol w:w="1099"/>
        <w:gridCol w:w="2181"/>
        <w:gridCol w:w="1028"/>
        <w:gridCol w:w="1269"/>
        <w:gridCol w:w="1141"/>
        <w:gridCol w:w="1238"/>
        <w:gridCol w:w="1444"/>
      </w:tblGrid>
      <w:tr w:rsidR="007C321B" w:rsidRPr="002F3DAF" w:rsidTr="007C321B">
        <w:trPr>
          <w:trHeight w:val="300"/>
          <w:tblHeader/>
        </w:trPr>
        <w:tc>
          <w:tcPr>
            <w:tcW w:w="500" w:type="dxa"/>
            <w:tcBorders>
              <w:top w:val="nil"/>
              <w:left w:val="nil"/>
              <w:bottom w:val="nil"/>
              <w:right w:val="nil"/>
            </w:tcBorders>
            <w:shd w:val="clear" w:color="auto" w:fill="auto"/>
            <w:noWrap/>
            <w:vAlign w:val="bottom"/>
            <w:hideMark/>
          </w:tcPr>
          <w:p w:rsidR="007C321B" w:rsidRPr="002F3DAF" w:rsidRDefault="007C321B" w:rsidP="007C321B">
            <w:pPr>
              <w:spacing w:after="0" w:line="240" w:lineRule="auto"/>
              <w:rPr>
                <w:rFonts w:ascii="Times New Roman" w:eastAsia="Times New Roman" w:hAnsi="Times New Roman" w:cs="Times New Roman"/>
                <w:sz w:val="24"/>
                <w:szCs w:val="24"/>
              </w:rPr>
            </w:pPr>
          </w:p>
        </w:tc>
        <w:tc>
          <w:tcPr>
            <w:tcW w:w="1099" w:type="dxa"/>
            <w:tcBorders>
              <w:top w:val="nil"/>
              <w:left w:val="nil"/>
              <w:bottom w:val="nil"/>
              <w:right w:val="nil"/>
            </w:tcBorders>
            <w:shd w:val="clear" w:color="auto" w:fill="auto"/>
            <w:noWrap/>
            <w:vAlign w:val="bottom"/>
            <w:hideMark/>
          </w:tcPr>
          <w:p w:rsidR="007C321B" w:rsidRPr="002F3DAF" w:rsidRDefault="007C321B" w:rsidP="007C321B">
            <w:pPr>
              <w:spacing w:after="0" w:line="240" w:lineRule="auto"/>
              <w:rPr>
                <w:rFonts w:ascii="Times New Roman" w:eastAsia="Times New Roman" w:hAnsi="Times New Roman" w:cs="Times New Roman"/>
                <w:sz w:val="20"/>
                <w:szCs w:val="20"/>
              </w:rPr>
            </w:pPr>
          </w:p>
        </w:tc>
        <w:tc>
          <w:tcPr>
            <w:tcW w:w="2181" w:type="dxa"/>
            <w:tcBorders>
              <w:top w:val="nil"/>
              <w:left w:val="nil"/>
              <w:bottom w:val="nil"/>
              <w:right w:val="nil"/>
            </w:tcBorders>
            <w:shd w:val="clear" w:color="auto" w:fill="auto"/>
            <w:noWrap/>
            <w:vAlign w:val="bottom"/>
            <w:hideMark/>
          </w:tcPr>
          <w:p w:rsidR="007C321B" w:rsidRPr="002F3DAF" w:rsidRDefault="007C321B" w:rsidP="007C321B">
            <w:pPr>
              <w:spacing w:after="0" w:line="240" w:lineRule="auto"/>
              <w:jc w:val="center"/>
              <w:rPr>
                <w:rFonts w:ascii="Times New Roman" w:eastAsia="Times New Roman" w:hAnsi="Times New Roman" w:cs="Times New Roman"/>
                <w:sz w:val="20"/>
                <w:szCs w:val="20"/>
              </w:rPr>
            </w:pPr>
          </w:p>
        </w:tc>
        <w:tc>
          <w:tcPr>
            <w:tcW w:w="4676"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7C321B" w:rsidRPr="002F3DAF" w:rsidRDefault="007C321B" w:rsidP="007C321B">
            <w:pPr>
              <w:spacing w:after="0" w:line="240" w:lineRule="auto"/>
              <w:jc w:val="center"/>
              <w:rPr>
                <w:rFonts w:ascii="Calibri" w:eastAsia="Times New Roman" w:hAnsi="Calibri" w:cs="Calibri"/>
                <w:color w:val="000000"/>
                <w:sz w:val="18"/>
                <w:szCs w:val="18"/>
              </w:rPr>
            </w:pPr>
            <w:r w:rsidRPr="002F3DAF">
              <w:rPr>
                <w:rFonts w:ascii="Calibri" w:eastAsia="Times New Roman" w:hAnsi="Calibri" w:cs="Calibri"/>
                <w:color w:val="000000"/>
                <w:sz w:val="18"/>
                <w:szCs w:val="18"/>
              </w:rPr>
              <w:t>Flood Loss Estimation Models (Based on Structure Use)</w:t>
            </w:r>
          </w:p>
        </w:tc>
        <w:tc>
          <w:tcPr>
            <w:tcW w:w="1444"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rsidR="007C321B" w:rsidRPr="002F3DAF" w:rsidRDefault="007C321B" w:rsidP="007C321B">
            <w:pPr>
              <w:spacing w:after="0" w:line="240" w:lineRule="auto"/>
              <w:jc w:val="center"/>
              <w:rPr>
                <w:rFonts w:ascii="Calibri" w:eastAsia="Times New Roman" w:hAnsi="Calibri" w:cs="Calibri"/>
                <w:color w:val="000000"/>
                <w:sz w:val="18"/>
                <w:szCs w:val="18"/>
              </w:rPr>
            </w:pPr>
            <w:r w:rsidRPr="002F3DAF">
              <w:rPr>
                <w:rFonts w:ascii="Calibri" w:eastAsia="Times New Roman" w:hAnsi="Calibri" w:cs="Calibri"/>
                <w:color w:val="000000"/>
                <w:sz w:val="18"/>
                <w:szCs w:val="18"/>
              </w:rPr>
              <w:t>(Structure Construction Type)</w:t>
            </w:r>
          </w:p>
        </w:tc>
      </w:tr>
      <w:tr w:rsidR="007C321B" w:rsidRPr="002F3DAF" w:rsidTr="007C321B">
        <w:trPr>
          <w:trHeight w:val="1718"/>
          <w:tblHeader/>
        </w:trPr>
        <w:tc>
          <w:tcPr>
            <w:tcW w:w="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ID</w:t>
            </w:r>
          </w:p>
        </w:tc>
        <w:tc>
          <w:tcPr>
            <w:tcW w:w="109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CAMA</w:t>
            </w:r>
            <w:r>
              <w:rPr>
                <w:rFonts w:ascii="Calibri" w:eastAsia="Times New Roman" w:hAnsi="Calibri" w:cs="Calibri"/>
                <w:b/>
                <w:bCs/>
                <w:color w:val="000000"/>
                <w:sz w:val="18"/>
                <w:szCs w:val="18"/>
              </w:rPr>
              <w:t>/ Assessment Land Use Code</w:t>
            </w:r>
          </w:p>
        </w:tc>
        <w:tc>
          <w:tcPr>
            <w:tcW w:w="218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Description</w:t>
            </w:r>
          </w:p>
        </w:tc>
        <w:tc>
          <w:tcPr>
            <w:tcW w:w="1028" w:type="dxa"/>
            <w:tcBorders>
              <w:top w:val="nil"/>
              <w:left w:val="nil"/>
              <w:bottom w:val="single" w:sz="4" w:space="0" w:color="auto"/>
              <w:right w:val="single" w:sz="4" w:space="0" w:color="auto"/>
            </w:tcBorders>
            <w:shd w:val="clear" w:color="auto" w:fill="DAEEF3" w:themeFill="accent5" w:themeFillTint="33"/>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 xml:space="preserve">Hazus </w:t>
            </w:r>
            <w:r>
              <w:rPr>
                <w:rFonts w:ascii="Calibri" w:eastAsia="Times New Roman" w:hAnsi="Calibri" w:cs="Calibri"/>
                <w:b/>
                <w:bCs/>
                <w:color w:val="000000"/>
                <w:sz w:val="18"/>
                <w:szCs w:val="18"/>
              </w:rPr>
              <w:t>Occupancy Class Type Code</w:t>
            </w:r>
          </w:p>
        </w:tc>
        <w:tc>
          <w:tcPr>
            <w:tcW w:w="1269" w:type="dxa"/>
            <w:tcBorders>
              <w:top w:val="nil"/>
              <w:left w:val="nil"/>
              <w:bottom w:val="single" w:sz="4" w:space="0" w:color="auto"/>
              <w:right w:val="single" w:sz="4" w:space="0" w:color="auto"/>
            </w:tcBorders>
            <w:shd w:val="clear" w:color="auto" w:fill="DAEEF3" w:themeFill="accent5" w:themeFillTint="33"/>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Hazus General Occupancy Class</w:t>
            </w:r>
          </w:p>
        </w:tc>
        <w:tc>
          <w:tcPr>
            <w:tcW w:w="1141" w:type="dxa"/>
            <w:tcBorders>
              <w:top w:val="nil"/>
              <w:left w:val="nil"/>
              <w:bottom w:val="single" w:sz="4" w:space="0" w:color="auto"/>
              <w:right w:val="single" w:sz="4" w:space="0" w:color="auto"/>
            </w:tcBorders>
            <w:shd w:val="clear" w:color="auto" w:fill="DAEEF3" w:themeFill="accent5" w:themeFillTint="33"/>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 xml:space="preserve">Abbreviated General Occupancy Class </w:t>
            </w:r>
          </w:p>
        </w:tc>
        <w:tc>
          <w:tcPr>
            <w:tcW w:w="1238" w:type="dxa"/>
            <w:tcBorders>
              <w:top w:val="nil"/>
              <w:left w:val="nil"/>
              <w:bottom w:val="single" w:sz="4" w:space="0" w:color="auto"/>
              <w:right w:val="single" w:sz="4" w:space="0" w:color="auto"/>
            </w:tcBorders>
            <w:shd w:val="clear" w:color="auto" w:fill="DAEEF3" w:themeFill="accent5" w:themeFillTint="33"/>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Hazus Population Displacement Models - People Occupied (Residence)</w:t>
            </w:r>
          </w:p>
        </w:tc>
        <w:tc>
          <w:tcPr>
            <w:tcW w:w="1444" w:type="dxa"/>
            <w:tcBorders>
              <w:top w:val="nil"/>
              <w:left w:val="nil"/>
              <w:bottom w:val="single" w:sz="4" w:space="0" w:color="auto"/>
              <w:right w:val="single" w:sz="4" w:space="0" w:color="auto"/>
            </w:tcBorders>
            <w:shd w:val="clear" w:color="auto" w:fill="FDE9D9" w:themeFill="accent6" w:themeFillTint="33"/>
            <w:vAlign w:val="center"/>
            <w:hideMark/>
          </w:tcPr>
          <w:p w:rsidR="007C321B" w:rsidRPr="002F3DAF" w:rsidRDefault="007C321B" w:rsidP="007C321B">
            <w:pPr>
              <w:spacing w:after="0" w:line="240" w:lineRule="auto"/>
              <w:jc w:val="center"/>
              <w:rPr>
                <w:rFonts w:ascii="Calibri" w:eastAsia="Times New Roman" w:hAnsi="Calibri" w:cs="Calibri"/>
                <w:b/>
                <w:bCs/>
                <w:color w:val="000000"/>
                <w:sz w:val="18"/>
                <w:szCs w:val="18"/>
              </w:rPr>
            </w:pPr>
            <w:r w:rsidRPr="002F3DAF">
              <w:rPr>
                <w:rFonts w:ascii="Calibri" w:eastAsia="Times New Roman" w:hAnsi="Calibri" w:cs="Calibri"/>
                <w:b/>
                <w:bCs/>
                <w:color w:val="000000"/>
                <w:sz w:val="18"/>
                <w:szCs w:val="18"/>
              </w:rPr>
              <w:t>SDE Residential/</w:t>
            </w:r>
            <w:r>
              <w:rPr>
                <w:rFonts w:ascii="Calibri" w:eastAsia="Times New Roman" w:hAnsi="Calibri" w:cs="Calibri"/>
                <w:b/>
                <w:bCs/>
                <w:color w:val="000000"/>
                <w:sz w:val="18"/>
                <w:szCs w:val="18"/>
              </w:rPr>
              <w:t xml:space="preserve"> </w:t>
            </w:r>
            <w:r w:rsidRPr="002F3DAF">
              <w:rPr>
                <w:rFonts w:ascii="Calibri" w:eastAsia="Times New Roman" w:hAnsi="Calibri" w:cs="Calibri"/>
                <w:b/>
                <w:bCs/>
                <w:color w:val="000000"/>
                <w:sz w:val="18"/>
                <w:szCs w:val="18"/>
              </w:rPr>
              <w:t>Non-Residential Structure Definition</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Residential Vacant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Residential 1 Family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Residential 2 Family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RES3A</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Residential 3 Family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RES3B</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Residential 4 Family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RES3B</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Mixed Residential/Commercial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TBD</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Condominium (common element)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RES3A</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Condominium (fee simple)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RES3A</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215"/>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Mobile Home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109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Auxiliary Improvement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110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Salvage Value Building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112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Active Farm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AGR1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Agricultural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AGR</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113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Inactive Farm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AGR1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Agricultural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AGR</w:t>
            </w:r>
          </w:p>
        </w:tc>
        <w:tc>
          <w:tcPr>
            <w:tcW w:w="1238"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114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Conservation easement perpetual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115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Unsound Residential Structure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123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Large Vac Tract - Unknown Potential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200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Vacant Apartment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201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proofErr w:type="spellStart"/>
            <w:r w:rsidRPr="001B3EBB">
              <w:rPr>
                <w:rFonts w:ascii="Calibri" w:eastAsia="Times New Roman" w:hAnsi="Calibri" w:cs="Calibri"/>
                <w:sz w:val="18"/>
                <w:szCs w:val="18"/>
              </w:rPr>
              <w:t>Residen</w:t>
            </w:r>
            <w:proofErr w:type="spellEnd"/>
            <w:r w:rsidRPr="001B3EBB">
              <w:rPr>
                <w:rFonts w:ascii="Calibri" w:eastAsia="Times New Roman" w:hAnsi="Calibri" w:cs="Calibri"/>
                <w:sz w:val="18"/>
                <w:szCs w:val="18"/>
              </w:rPr>
              <w:t>. Structure on Apartment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b/>
                <w:bCs/>
                <w:sz w:val="18"/>
                <w:szCs w:val="18"/>
              </w:rPr>
            </w:pPr>
            <w:r w:rsidRPr="001B3EBB">
              <w:rPr>
                <w:rFonts w:ascii="Calibri" w:eastAsia="Times New Roman" w:hAnsi="Calibri" w:cs="Calibri"/>
                <w:b/>
                <w:bCs/>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211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Apartment-Garden (1-3 stories)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RES3B</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212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Apartment-High Rise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RES3F</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213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Mobile Home Park</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300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Vacant Commercial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301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proofErr w:type="spellStart"/>
            <w:r w:rsidRPr="001B3EBB">
              <w:rPr>
                <w:rFonts w:ascii="Calibri" w:eastAsia="Times New Roman" w:hAnsi="Calibri" w:cs="Calibri"/>
                <w:sz w:val="18"/>
                <w:szCs w:val="18"/>
              </w:rPr>
              <w:t>Resid</w:t>
            </w:r>
            <w:proofErr w:type="spellEnd"/>
            <w:r w:rsidRPr="001B3EBB">
              <w:rPr>
                <w:rFonts w:ascii="Calibri" w:eastAsia="Times New Roman" w:hAnsi="Calibri" w:cs="Calibri"/>
                <w:sz w:val="18"/>
                <w:szCs w:val="18"/>
              </w:rPr>
              <w:t>. Structure on Commercial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310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Unsound Commercial Structure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314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Hotel/Motel-High Rise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315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Hotel/Motel-Low Rise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316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Nursing Home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RES6</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28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318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Boarding and Rooming Houses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RES4 or RES5</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Residential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RES</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Yes</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lastRenderedPageBreak/>
              <w:t>29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319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Mixed Commercial/Residential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321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Restaurant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323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Food Stand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325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Franchise Food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326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Ice House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327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Bar/Lounge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328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Night Club/Dinner Theater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COM9</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Kwik Lube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Auto Dealer-Full Service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Auto Service Garage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39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Service Station with Bays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Service Station without Bays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Truck Stop</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Car Wash-Manual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Car Wash-Automatic</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Parking Garage/Deck</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COM10</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339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Parking Miscellaneous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COM10</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Super Regional Shopping Mall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Regional Shopping Mall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Community Shopping Center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49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Neighborhood Shopping Center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Strip Shopping Center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Discount Department Store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Department Store/Anchor Store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Supermarket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Convenience Food Market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349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Medical Office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COM7</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351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Bank</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COM5</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352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Savings Institution</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COM5</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58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353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Office Building-Low Rise (1-4 stories)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lastRenderedPageBreak/>
              <w:t>59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354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Office Building-High Rise (&gt;4 stories)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355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Office Condominium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356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Retail Condominium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Funeral Home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Veterinary Clinic</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AGR1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Agricultural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AGR</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Legitimate Theater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COM9</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Motion Picture Theater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COM9</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Cinema/Theater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COM9</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Radio/TV/Motion Picture Studio</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Social/Fraternal Hall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REL1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Religious</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REL</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69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Hangar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369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Day Care Center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370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Greenhouse/Florist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371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Downtown Row Type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373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Retail-Single Occupancy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374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Retail-Multiple Occupancy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375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Retail-Drive Up</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Bowling Alley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Skating Rink</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Health Spa</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79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Swimming Pool-Indoor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Tennis Club-Indoor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Racquet Club-Indoor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Country Club without Golf Course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Club House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389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Country Club with Golf Course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Amusement Park</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Cold Storage Facility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Lumber Storage Facility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 Auxiliary Improvement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89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Truck Terminal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lastRenderedPageBreak/>
              <w:t>90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Mini Warehouse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Office/Warehouse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Warehouse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399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Warehouse-Prefabricated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400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Vacant Industrial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 </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401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Manufacturing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405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Research &amp; Development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Aircraft Engine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Aluminum &amp; Foil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99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Asphalt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Automobile Parts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Bakery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Bottling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Broom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Candy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419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Cement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Concrete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Chemical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Clay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109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Clothing </w:t>
            </w:r>
            <w:proofErr w:type="spellStart"/>
            <w:r w:rsidRPr="001B3EBB">
              <w:rPr>
                <w:rFonts w:ascii="Calibri" w:eastAsia="Times New Roman" w:hAnsi="Calibri" w:cs="Calibri"/>
                <w:sz w:val="18"/>
                <w:szCs w:val="18"/>
              </w:rPr>
              <w:t>Mfg</w:t>
            </w:r>
            <w:proofErr w:type="spellEnd"/>
            <w:r w:rsidRPr="001B3EBB">
              <w:rPr>
                <w:rFonts w:ascii="Calibri" w:eastAsia="Times New Roman" w:hAnsi="Calibri" w:cs="Calibri"/>
                <w:sz w:val="18"/>
                <w:szCs w:val="18"/>
              </w:rPr>
              <w:t xml:space="preserve"> (</w:t>
            </w:r>
            <w:proofErr w:type="spellStart"/>
            <w:r w:rsidRPr="001B3EBB">
              <w:rPr>
                <w:rFonts w:ascii="Calibri" w:eastAsia="Times New Roman" w:hAnsi="Calibri" w:cs="Calibri"/>
                <w:sz w:val="18"/>
                <w:szCs w:val="18"/>
              </w:rPr>
              <w:t>exc</w:t>
            </w:r>
            <w:proofErr w:type="spellEnd"/>
            <w:r w:rsidRPr="001B3EBB">
              <w:rPr>
                <w:rFonts w:ascii="Calibri" w:eastAsia="Times New Roman" w:hAnsi="Calibri" w:cs="Calibri"/>
                <w:sz w:val="18"/>
                <w:szCs w:val="18"/>
              </w:rPr>
              <w:t xml:space="preserve"> Leather/Rubber)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Coal Processing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Compressor Station (not </w:t>
            </w:r>
            <w:proofErr w:type="spellStart"/>
            <w:r w:rsidRPr="001B3EBB">
              <w:rPr>
                <w:rFonts w:ascii="Calibri" w:eastAsia="Times New Roman" w:hAnsi="Calibri" w:cs="Calibri"/>
                <w:sz w:val="18"/>
                <w:szCs w:val="18"/>
              </w:rPr>
              <w:t>Pub.Util</w:t>
            </w:r>
            <w:proofErr w:type="spellEnd"/>
            <w:r w:rsidRPr="001B3EBB">
              <w:rPr>
                <w:rFonts w:ascii="Calibri" w:eastAsia="Times New Roman" w:hAnsi="Calibri" w:cs="Calibri"/>
                <w:sz w:val="18"/>
                <w:szCs w:val="18"/>
              </w:rPr>
              <w: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Dairy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Dental and Medical Lab</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429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Electronic Components Prods.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IND5</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Electronic Equipment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IND5</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Feed &amp; Flower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Foundry Products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Food Processing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119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Glass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Glass </w:t>
            </w:r>
            <w:proofErr w:type="spellStart"/>
            <w:r w:rsidRPr="001B3EBB">
              <w:rPr>
                <w:rFonts w:ascii="Calibri" w:eastAsia="Times New Roman" w:hAnsi="Calibri" w:cs="Calibri"/>
                <w:sz w:val="18"/>
                <w:szCs w:val="18"/>
              </w:rPr>
              <w:t>Mfg</w:t>
            </w:r>
            <w:proofErr w:type="spellEnd"/>
            <w:r w:rsidRPr="001B3EBB">
              <w:rPr>
                <w:rFonts w:ascii="Calibri" w:eastAsia="Times New Roman" w:hAnsi="Calibri" w:cs="Calibri"/>
                <w:sz w:val="18"/>
                <w:szCs w:val="18"/>
              </w:rPr>
              <w:t>-Special Tools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lastRenderedPageBreak/>
              <w:t>121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Grain &amp; Milling Products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Ice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Leather Products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439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Liquefied Natural Gas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Logging, Cutting of Timber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Machinery &amp; Equipment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Meat Packing &amp; Slaughterhouse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Metal Working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IND6</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129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Mining, Deep</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Mining, Strip</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Natural Gas Extracting Facility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Nickel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Newspaper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449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Oil &amp; Gas Pipeline (not Public Utility)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Optical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Paint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Paper Finishing &amp; Converting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Petroleum Refinery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139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Pipeline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Plastics Products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Plastics Products </w:t>
            </w:r>
            <w:proofErr w:type="spellStart"/>
            <w:r w:rsidRPr="001B3EBB">
              <w:rPr>
                <w:rFonts w:ascii="Calibri" w:eastAsia="Times New Roman" w:hAnsi="Calibri" w:cs="Calibri"/>
                <w:sz w:val="18"/>
                <w:szCs w:val="18"/>
              </w:rPr>
              <w:t>Mfg</w:t>
            </w:r>
            <w:proofErr w:type="spellEnd"/>
            <w:r w:rsidRPr="001B3EBB">
              <w:rPr>
                <w:rFonts w:ascii="Calibri" w:eastAsia="Times New Roman" w:hAnsi="Calibri" w:cs="Calibri"/>
                <w:sz w:val="18"/>
                <w:szCs w:val="18"/>
              </w:rPr>
              <w:t xml:space="preserve"> - Special Tools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Print Shop</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Pulp &amp; Paper</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459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Quarries Incl </w:t>
            </w:r>
            <w:proofErr w:type="spellStart"/>
            <w:r w:rsidRPr="001B3EBB">
              <w:rPr>
                <w:rFonts w:ascii="Calibri" w:eastAsia="Times New Roman" w:hAnsi="Calibri" w:cs="Calibri"/>
                <w:sz w:val="18"/>
                <w:szCs w:val="18"/>
              </w:rPr>
              <w:t>st&amp;gr</w:t>
            </w:r>
            <w:proofErr w:type="spellEnd"/>
            <w:r w:rsidRPr="001B3EBB">
              <w:rPr>
                <w:rFonts w:ascii="Calibri" w:eastAsia="Times New Roman" w:hAnsi="Calibri" w:cs="Calibri"/>
                <w:sz w:val="18"/>
                <w:szCs w:val="18"/>
              </w:rPr>
              <w:t xml:space="preserve">, ls, </w:t>
            </w:r>
            <w:proofErr w:type="spellStart"/>
            <w:r w:rsidRPr="001B3EBB">
              <w:rPr>
                <w:rFonts w:ascii="Calibri" w:eastAsia="Times New Roman" w:hAnsi="Calibri" w:cs="Calibri"/>
                <w:sz w:val="18"/>
                <w:szCs w:val="18"/>
              </w:rPr>
              <w:t>ss,sh,cl</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Railroad Car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Rubber </w:t>
            </w:r>
            <w:proofErr w:type="spellStart"/>
            <w:r w:rsidRPr="001B3EBB">
              <w:rPr>
                <w:rFonts w:ascii="Calibri" w:eastAsia="Times New Roman" w:hAnsi="Calibri" w:cs="Calibri"/>
                <w:sz w:val="18"/>
                <w:szCs w:val="18"/>
              </w:rPr>
              <w:t>Mfg</w:t>
            </w:r>
            <w:proofErr w:type="spellEnd"/>
            <w:r w:rsidRPr="001B3EBB">
              <w:rPr>
                <w:rFonts w:ascii="Calibri" w:eastAsia="Times New Roman" w:hAnsi="Calibri" w:cs="Calibri"/>
                <w:sz w:val="18"/>
                <w:szCs w:val="18"/>
              </w:rPr>
              <w:t>-Tire Recapping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Shoe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Steel Mill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149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Steam Generating Plant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lastRenderedPageBreak/>
              <w:t>150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Saw Mills-Permanent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Saw Mills-Temporary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Textile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468</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Tobacco Products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IND3</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469</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Woodworking Shop</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470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 xml:space="preserve">Wire Products </w:t>
            </w:r>
            <w:proofErr w:type="spellStart"/>
            <w:r w:rsidRPr="001B3EBB">
              <w:rPr>
                <w:rFonts w:ascii="Calibri" w:eastAsia="Times New Roman" w:hAnsi="Calibri" w:cs="Calibri"/>
                <w:sz w:val="18"/>
                <w:szCs w:val="18"/>
              </w:rPr>
              <w:t>Mfg</w:t>
            </w:r>
            <w:proofErr w:type="spellEnd"/>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471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Jewelry/Musical Instruments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IND2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Industrial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IND</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600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Vacant Exempt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601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Cemetery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159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602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Post Office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GOV1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Governmental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603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Federal/State Building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GOV1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Governmental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604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Other Miscellaneous Exempt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610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Recreational/Health</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611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Library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EDU1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Educational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EDU</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612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School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EDU1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Educational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EDU</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613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College &amp; University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EDU2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Educational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EDU</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620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Religious</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REL1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Religious</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REL</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630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Auditorium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640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Hospital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COM6</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169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660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Police or Fire Station</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GOV2</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Governmental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670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Correctional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GOV1</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Governmental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GOV</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680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Cultural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690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Rail/Bus/Air Terminal</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Utility Vacant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UNK</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Unknown</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UNK</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Water System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Gas Distribution System</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Electric Company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177</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704</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Telephone Company</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178</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Railroad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179</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706</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Pipeline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180</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707</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Sewage Treatment</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COM4</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right"/>
              <w:rPr>
                <w:rFonts w:ascii="Calibri" w:eastAsia="Times New Roman" w:hAnsi="Calibri" w:cs="Calibri"/>
                <w:sz w:val="18"/>
                <w:szCs w:val="18"/>
              </w:rPr>
            </w:pPr>
            <w:r w:rsidRPr="001B3EBB">
              <w:rPr>
                <w:rFonts w:ascii="Calibri" w:eastAsia="Times New Roman" w:hAnsi="Calibri" w:cs="Calibri"/>
                <w:sz w:val="18"/>
                <w:szCs w:val="18"/>
              </w:rPr>
              <w:t>181</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710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Telephone Equipment Building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jc w:val="center"/>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lastRenderedPageBreak/>
              <w:t>182</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715</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Telephone Service Garage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183</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720</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Radio/TV Transmitter Building</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184</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721</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Wireless Serv Facility on leased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185</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722</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Wireless Serv Facility with land</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Non-Residential</w:t>
            </w:r>
          </w:p>
        </w:tc>
      </w:tr>
      <w:tr w:rsidR="007C321B" w:rsidRPr="002F3DAF" w:rsidTr="007C321B">
        <w:trPr>
          <w:trHeight w:val="300"/>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186</w:t>
            </w:r>
          </w:p>
        </w:tc>
        <w:tc>
          <w:tcPr>
            <w:tcW w:w="1099"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723</w:t>
            </w:r>
          </w:p>
        </w:tc>
        <w:tc>
          <w:tcPr>
            <w:tcW w:w="218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Land leased to Wireless Service</w:t>
            </w:r>
          </w:p>
        </w:tc>
        <w:tc>
          <w:tcPr>
            <w:tcW w:w="102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b/>
                <w:bCs/>
                <w:sz w:val="18"/>
                <w:szCs w:val="18"/>
              </w:rPr>
            </w:pPr>
            <w:r w:rsidRPr="001B3EBB">
              <w:rPr>
                <w:rFonts w:ascii="Calibri" w:eastAsia="Times New Roman" w:hAnsi="Calibri" w:cs="Calibri"/>
                <w:b/>
                <w:bCs/>
                <w:sz w:val="18"/>
                <w:szCs w:val="18"/>
              </w:rPr>
              <w:t>COM8</w:t>
            </w:r>
          </w:p>
        </w:tc>
        <w:tc>
          <w:tcPr>
            <w:tcW w:w="1269"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Commercial</w:t>
            </w:r>
          </w:p>
        </w:tc>
        <w:tc>
          <w:tcPr>
            <w:tcW w:w="1141"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COM</w:t>
            </w:r>
          </w:p>
        </w:tc>
        <w:tc>
          <w:tcPr>
            <w:tcW w:w="1238" w:type="dxa"/>
            <w:tcBorders>
              <w:top w:val="nil"/>
              <w:left w:val="nil"/>
              <w:bottom w:val="single" w:sz="4" w:space="0" w:color="auto"/>
              <w:right w:val="single" w:sz="4" w:space="0" w:color="auto"/>
            </w:tcBorders>
            <w:shd w:val="clear" w:color="auto" w:fill="auto"/>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w:t>
            </w:r>
          </w:p>
        </w:tc>
        <w:tc>
          <w:tcPr>
            <w:tcW w:w="1444" w:type="dxa"/>
            <w:tcBorders>
              <w:top w:val="nil"/>
              <w:left w:val="nil"/>
              <w:bottom w:val="single" w:sz="4" w:space="0" w:color="auto"/>
              <w:right w:val="single" w:sz="4" w:space="0" w:color="auto"/>
            </w:tcBorders>
            <w:shd w:val="clear" w:color="auto" w:fill="auto"/>
            <w:noWrap/>
            <w:vAlign w:val="center"/>
            <w:hideMark/>
          </w:tcPr>
          <w:p w:rsidR="007C321B" w:rsidRPr="001B3EBB" w:rsidRDefault="007C321B" w:rsidP="007C321B">
            <w:pPr>
              <w:spacing w:after="0" w:line="240" w:lineRule="auto"/>
              <w:rPr>
                <w:rFonts w:ascii="Calibri" w:eastAsia="Times New Roman" w:hAnsi="Calibri" w:cs="Calibri"/>
                <w:sz w:val="18"/>
                <w:szCs w:val="18"/>
              </w:rPr>
            </w:pPr>
            <w:r w:rsidRPr="001B3EBB">
              <w:rPr>
                <w:rFonts w:ascii="Calibri" w:eastAsia="Times New Roman" w:hAnsi="Calibri" w:cs="Calibri"/>
                <w:sz w:val="18"/>
                <w:szCs w:val="18"/>
              </w:rPr>
              <w:t>Non-Residential</w:t>
            </w:r>
          </w:p>
        </w:tc>
      </w:tr>
    </w:tbl>
    <w:p w:rsidR="007C321B" w:rsidRDefault="007C321B" w:rsidP="007C321B">
      <w:pPr>
        <w:spacing w:after="0"/>
      </w:pPr>
      <w:r>
        <w:br w:type="page"/>
      </w:r>
      <w:bookmarkStart w:id="55" w:name="_Toc34317966"/>
      <w:bookmarkStart w:id="56" w:name="_Toc34388244"/>
      <w:r w:rsidRPr="00655B64">
        <w:rPr>
          <w:rStyle w:val="TableFigureChar"/>
        </w:rPr>
        <w:lastRenderedPageBreak/>
        <w:t>Table 1</w:t>
      </w:r>
      <w:r w:rsidR="0084432D">
        <w:rPr>
          <w:rStyle w:val="TableFigureChar"/>
        </w:rPr>
        <w:t>2</w:t>
      </w:r>
      <w:r w:rsidRPr="00655B64">
        <w:rPr>
          <w:rStyle w:val="TableFigureChar"/>
        </w:rPr>
        <w:t>.  Average Mobile Home Appraisal Values by County</w:t>
      </w:r>
      <w:bookmarkEnd w:id="55"/>
      <w:bookmarkEnd w:id="56"/>
      <w:r>
        <w:t>.</w:t>
      </w:r>
      <w:r w:rsidRPr="00A63B20">
        <w:t xml:space="preserve">  Computed from TY</w:t>
      </w:r>
      <w:r>
        <w:t xml:space="preserve"> </w:t>
      </w:r>
      <w:r w:rsidRPr="00A63B20">
        <w:t>2019 Assessment Records.</w:t>
      </w:r>
    </w:p>
    <w:tbl>
      <w:tblPr>
        <w:tblW w:w="8641" w:type="dxa"/>
        <w:tblLook w:val="04A0" w:firstRow="1" w:lastRow="0" w:firstColumn="1" w:lastColumn="0" w:noHBand="0" w:noVBand="1"/>
      </w:tblPr>
      <w:tblGrid>
        <w:gridCol w:w="2245"/>
        <w:gridCol w:w="952"/>
        <w:gridCol w:w="1180"/>
        <w:gridCol w:w="921"/>
        <w:gridCol w:w="1087"/>
        <w:gridCol w:w="356"/>
        <w:gridCol w:w="960"/>
        <w:gridCol w:w="940"/>
      </w:tblGrid>
      <w:tr w:rsidR="007C321B" w:rsidRPr="00A63B20" w:rsidTr="00A40F94">
        <w:trPr>
          <w:trHeight w:val="780"/>
          <w:tblHeader/>
        </w:trPr>
        <w:tc>
          <w:tcPr>
            <w:tcW w:w="2245"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County </w:t>
            </w:r>
          </w:p>
        </w:tc>
        <w:tc>
          <w:tcPr>
            <w:tcW w:w="952" w:type="dxa"/>
            <w:tcBorders>
              <w:top w:val="single" w:sz="4" w:space="0" w:color="auto"/>
              <w:left w:val="nil"/>
              <w:bottom w:val="single" w:sz="4" w:space="0" w:color="auto"/>
              <w:right w:val="single" w:sz="4" w:space="0" w:color="auto"/>
            </w:tcBorders>
            <w:shd w:val="clear" w:color="000000" w:fill="F2F2F2"/>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Count </w:t>
            </w:r>
          </w:p>
        </w:tc>
        <w:tc>
          <w:tcPr>
            <w:tcW w:w="1180" w:type="dxa"/>
            <w:tcBorders>
              <w:top w:val="single" w:sz="4" w:space="0" w:color="auto"/>
              <w:left w:val="nil"/>
              <w:bottom w:val="single" w:sz="4" w:space="0" w:color="auto"/>
              <w:right w:val="single" w:sz="4" w:space="0" w:color="auto"/>
            </w:tcBorders>
            <w:shd w:val="clear" w:color="000000" w:fill="F2F2F2"/>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Average Bldg. Appraisal </w:t>
            </w:r>
          </w:p>
        </w:tc>
        <w:tc>
          <w:tcPr>
            <w:tcW w:w="921" w:type="dxa"/>
            <w:tcBorders>
              <w:top w:val="single" w:sz="4" w:space="0" w:color="auto"/>
              <w:left w:val="nil"/>
              <w:bottom w:val="single" w:sz="4" w:space="0" w:color="auto"/>
              <w:right w:val="single" w:sz="4" w:space="0" w:color="auto"/>
            </w:tcBorders>
            <w:shd w:val="clear" w:color="000000" w:fill="F2F2F2"/>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Min Bldg. Appraisal </w:t>
            </w:r>
          </w:p>
        </w:tc>
        <w:tc>
          <w:tcPr>
            <w:tcW w:w="1087" w:type="dxa"/>
            <w:tcBorders>
              <w:top w:val="single" w:sz="4" w:space="0" w:color="auto"/>
              <w:left w:val="nil"/>
              <w:bottom w:val="single" w:sz="4" w:space="0" w:color="auto"/>
              <w:right w:val="single" w:sz="4" w:space="0" w:color="auto"/>
            </w:tcBorders>
            <w:shd w:val="clear" w:color="000000" w:fill="F2F2F2"/>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 xml:space="preserve"> Max Bldg. Appraisal </w:t>
            </w:r>
          </w:p>
        </w:tc>
        <w:tc>
          <w:tcPr>
            <w:tcW w:w="356" w:type="dxa"/>
            <w:tcBorders>
              <w:top w:val="nil"/>
              <w:left w:val="nil"/>
              <w:bottom w:val="nil"/>
              <w:right w:val="nil"/>
            </w:tcBorders>
            <w:shd w:val="clear" w:color="000000" w:fill="F2F2F2"/>
            <w:vAlign w:val="bottom"/>
            <w:hideMark/>
          </w:tcPr>
          <w:p w:rsidR="007C321B" w:rsidRPr="00A40F94" w:rsidRDefault="007C321B" w:rsidP="007C321B">
            <w:pPr>
              <w:spacing w:after="0" w:line="240" w:lineRule="auto"/>
              <w:contextualSpacing/>
              <w:rPr>
                <w:rFonts w:eastAsia="Times New Roman" w:cstheme="minorHAnsi"/>
                <w:b/>
                <w:bCs/>
                <w:color w:val="000000"/>
                <w:sz w:val="18"/>
                <w:szCs w:val="18"/>
              </w:rPr>
            </w:pPr>
            <w:r w:rsidRPr="00A40F94">
              <w:rPr>
                <w:rFonts w:eastAsia="Times New Roman" w:cstheme="minorHAnsi"/>
                <w:b/>
                <w:bCs/>
                <w:color w:val="000000"/>
                <w:sz w:val="18"/>
                <w:szCs w:val="18"/>
              </w:rPr>
              <w:t> </w:t>
            </w:r>
          </w:p>
        </w:tc>
        <w:tc>
          <w:tcPr>
            <w:tcW w:w="960" w:type="dxa"/>
            <w:tcBorders>
              <w:top w:val="single" w:sz="4" w:space="0" w:color="auto"/>
              <w:left w:val="single" w:sz="4" w:space="0" w:color="auto"/>
              <w:bottom w:val="single" w:sz="4" w:space="0" w:color="auto"/>
              <w:right w:val="single" w:sz="4" w:space="0" w:color="auto"/>
            </w:tcBorders>
            <w:shd w:val="clear" w:color="000000" w:fill="FFF2CC"/>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Single Wide</w:t>
            </w:r>
          </w:p>
        </w:tc>
        <w:tc>
          <w:tcPr>
            <w:tcW w:w="940" w:type="dxa"/>
            <w:tcBorders>
              <w:top w:val="single" w:sz="4" w:space="0" w:color="auto"/>
              <w:left w:val="nil"/>
              <w:bottom w:val="single" w:sz="4" w:space="0" w:color="auto"/>
              <w:right w:val="single" w:sz="4" w:space="0" w:color="auto"/>
            </w:tcBorders>
            <w:shd w:val="clear" w:color="000000" w:fill="E2EFDA"/>
            <w:vAlign w:val="bottom"/>
            <w:hideMark/>
          </w:tcPr>
          <w:p w:rsidR="007C321B" w:rsidRPr="00A40F94" w:rsidRDefault="007C321B" w:rsidP="007C321B">
            <w:pPr>
              <w:spacing w:after="0" w:line="240" w:lineRule="auto"/>
              <w:contextualSpacing/>
              <w:jc w:val="center"/>
              <w:rPr>
                <w:rFonts w:eastAsia="Times New Roman" w:cstheme="minorHAnsi"/>
                <w:b/>
                <w:bCs/>
                <w:color w:val="000000"/>
                <w:sz w:val="18"/>
                <w:szCs w:val="18"/>
              </w:rPr>
            </w:pPr>
            <w:r w:rsidRPr="00A40F94">
              <w:rPr>
                <w:rFonts w:eastAsia="Times New Roman" w:cstheme="minorHAnsi"/>
                <w:b/>
                <w:bCs/>
                <w:color w:val="000000"/>
                <w:sz w:val="18"/>
                <w:szCs w:val="18"/>
              </w:rPr>
              <w:t>Double Wide</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Barbour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702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$15,587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$130,100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Berkeley</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3,393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$18,707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$180,400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Boone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1,871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$33,459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$193,700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$33,000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Braxton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1,203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$28,129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$178,400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Brooke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330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$21,420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$102,200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Cabell</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1,899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$28,674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$144,100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$29,000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Calhoun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143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$21,811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$157,300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Clay</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510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$13,860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$142,300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Doddridge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225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$16,716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$185,500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Fayette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1,390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$16,466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$152,300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Gilmer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270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$20,539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$171,900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Grant</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835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$24,609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$178,400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$25,000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Greenbrier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1,686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$24,441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$149,500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Hampshire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1,922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$25,989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$147,700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Hancock</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311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$12,246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$183,900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Hardy</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887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$21,125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$788,000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Harrison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2,139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$41,536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$258,100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Jackson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1,824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$33,915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$208,600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Jefferson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905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$32,361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$307,900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Kanawha</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5,903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$32,195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$235,400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Lewis</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649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$13,273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$60,600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Lincoln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1,839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$23,160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$222,000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Logan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2,421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$20,570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$105,100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Marion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1,420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$24,879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$163,600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$25,000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Marshall</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514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$17,663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$271,200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Mason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1,092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$17,682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$185,300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McDowell</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1,050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$14,360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$74,000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Mercer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3,591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$31,237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$153,600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Mineral</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999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$20,437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$140,600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Mingo</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2,285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$17,743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$126,100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Monongalia</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1,549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$26,246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$219,900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Monroe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929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$23,875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$197,800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Morgan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920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$28,480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$160,600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Nicholas</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1,380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$19,957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$243,000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Ohio</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292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$19,748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$98,700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Pendleton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467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$19,737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$304,000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Pleasants</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205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$16,768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$92,700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lastRenderedPageBreak/>
              <w:t>Pocahontas</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679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$10,797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$181,800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Preston</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1,193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$15,295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$164,600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Putnam</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1,359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$15,197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$305,000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Raleigh</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3,955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$31,491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$205,300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$31,000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Randolph</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1,017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$21,853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$190,300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Ritchie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574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$32,052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$178,100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$32,000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$64,000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Roane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582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$13,725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$86,300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Summers</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774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$18,845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$156,800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Taylor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702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$46,681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$238,500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$47,000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$94,000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Tucker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284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$23,705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$206,300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$24,000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Tyler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423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$26,439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$170,900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$26,000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$52,000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Upshur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1,120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$27,775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$233,800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$56,000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Wayne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2,158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$18,928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$181,500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Webster</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880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$19,763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$102,600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Wetzel</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403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$17,675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$144,300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Wirt</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524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$8,962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$81,600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$9,000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$18,000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Wood</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2,103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$37,984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$229,000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$38,000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$76,000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Wyoming</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xml:space="preserve">   2,244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$20,094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$300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$194,900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$20,000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 xml:space="preserve">$40,000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A63B20" w:rsidTr="00A40F94">
        <w:trPr>
          <w:trHeight w:val="300"/>
        </w:trPr>
        <w:tc>
          <w:tcPr>
            <w:tcW w:w="2245" w:type="dxa"/>
            <w:tcBorders>
              <w:top w:val="nil"/>
              <w:left w:val="single" w:sz="4" w:space="0" w:color="auto"/>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Average</w:t>
            </w:r>
          </w:p>
        </w:tc>
        <w:tc>
          <w:tcPr>
            <w:tcW w:w="952"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rPr>
                <w:rFonts w:eastAsia="Times New Roman" w:cstheme="minorHAnsi"/>
                <w:color w:val="000000"/>
                <w:sz w:val="18"/>
                <w:szCs w:val="18"/>
              </w:rPr>
            </w:pPr>
            <w:r w:rsidRPr="00A40F94">
              <w:rPr>
                <w:rFonts w:eastAsia="Times New Roman" w:cstheme="minorHAnsi"/>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$22,670</w:t>
            </w:r>
          </w:p>
        </w:tc>
        <w:tc>
          <w:tcPr>
            <w:tcW w:w="921"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$156</w:t>
            </w:r>
          </w:p>
        </w:tc>
        <w:tc>
          <w:tcPr>
            <w:tcW w:w="1087" w:type="dxa"/>
            <w:tcBorders>
              <w:top w:val="nil"/>
              <w:left w:val="nil"/>
              <w:bottom w:val="single" w:sz="4" w:space="0" w:color="auto"/>
              <w:right w:val="single" w:sz="4" w:space="0" w:color="auto"/>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$186,656</w:t>
            </w:r>
          </w:p>
        </w:tc>
        <w:tc>
          <w:tcPr>
            <w:tcW w:w="356" w:type="dxa"/>
            <w:tcBorders>
              <w:top w:val="nil"/>
              <w:left w:val="nil"/>
              <w:bottom w:val="nil"/>
              <w:right w:val="nil"/>
            </w:tcBorders>
            <w:shd w:val="clear" w:color="auto" w:fill="auto"/>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p>
        </w:tc>
        <w:tc>
          <w:tcPr>
            <w:tcW w:w="960" w:type="dxa"/>
            <w:tcBorders>
              <w:top w:val="nil"/>
              <w:left w:val="single" w:sz="4" w:space="0" w:color="auto"/>
              <w:bottom w:val="single" w:sz="4" w:space="0" w:color="auto"/>
              <w:right w:val="single" w:sz="4" w:space="0" w:color="auto"/>
            </w:tcBorders>
            <w:shd w:val="clear" w:color="000000" w:fill="FFF2CC"/>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$23,000</w:t>
            </w:r>
          </w:p>
        </w:tc>
        <w:tc>
          <w:tcPr>
            <w:tcW w:w="940" w:type="dxa"/>
            <w:tcBorders>
              <w:top w:val="nil"/>
              <w:left w:val="nil"/>
              <w:bottom w:val="single" w:sz="4" w:space="0" w:color="auto"/>
              <w:right w:val="single" w:sz="4" w:space="0" w:color="auto"/>
            </w:tcBorders>
            <w:shd w:val="clear" w:color="000000" w:fill="E2EFDA"/>
            <w:noWrap/>
            <w:vAlign w:val="bottom"/>
            <w:hideMark/>
          </w:tcPr>
          <w:p w:rsidR="007C321B" w:rsidRPr="00A40F94" w:rsidRDefault="007C321B" w:rsidP="007C321B">
            <w:pPr>
              <w:spacing w:after="0" w:line="240" w:lineRule="auto"/>
              <w:contextualSpacing/>
              <w:jc w:val="right"/>
              <w:rPr>
                <w:rFonts w:eastAsia="Times New Roman" w:cstheme="minorHAnsi"/>
                <w:color w:val="000000"/>
                <w:sz w:val="18"/>
                <w:szCs w:val="18"/>
              </w:rPr>
            </w:pPr>
            <w:r w:rsidRPr="00A40F94">
              <w:rPr>
                <w:rFonts w:eastAsia="Times New Roman" w:cstheme="minorHAnsi"/>
                <w:color w:val="000000"/>
                <w:sz w:val="18"/>
                <w:szCs w:val="18"/>
              </w:rPr>
              <w:t>$46,000</w:t>
            </w:r>
          </w:p>
        </w:tc>
      </w:tr>
    </w:tbl>
    <w:p w:rsidR="007C321B" w:rsidRDefault="007C321B" w:rsidP="007C321B">
      <w:pPr>
        <w:rPr>
          <w:rFonts w:ascii="Calibri" w:eastAsia="Times New Roman" w:hAnsi="Calibri" w:cs="Calibri"/>
          <w:b/>
          <w:color w:val="000000"/>
          <w:szCs w:val="20"/>
        </w:rPr>
      </w:pPr>
      <w:r>
        <w:br w:type="page"/>
      </w:r>
    </w:p>
    <w:p w:rsidR="007C321B" w:rsidRDefault="007C321B" w:rsidP="00655B64">
      <w:pPr>
        <w:pStyle w:val="TableFigure"/>
        <w:spacing w:after="0"/>
      </w:pPr>
      <w:bookmarkStart w:id="57" w:name="_Toc34317967"/>
      <w:bookmarkStart w:id="58" w:name="_Toc34388245"/>
      <w:r w:rsidRPr="0020384A">
        <w:lastRenderedPageBreak/>
        <w:t xml:space="preserve">Table </w:t>
      </w:r>
      <w:r>
        <w:t>1</w:t>
      </w:r>
      <w:r w:rsidR="0084432D">
        <w:t>3</w:t>
      </w:r>
      <w:r w:rsidRPr="0020384A">
        <w:t>.</w:t>
      </w:r>
      <w:r>
        <w:t xml:space="preserve">  Data Issues and Quality Control Measures</w:t>
      </w:r>
      <w:bookmarkEnd w:id="57"/>
      <w:bookmarkEnd w:id="58"/>
    </w:p>
    <w:tbl>
      <w:tblPr>
        <w:tblW w:w="8780" w:type="dxa"/>
        <w:tblLook w:val="04A0" w:firstRow="1" w:lastRow="0" w:firstColumn="1" w:lastColumn="0" w:noHBand="0" w:noVBand="1"/>
      </w:tblPr>
      <w:tblGrid>
        <w:gridCol w:w="1800"/>
        <w:gridCol w:w="5560"/>
        <w:gridCol w:w="1420"/>
      </w:tblGrid>
      <w:tr w:rsidR="007C321B" w:rsidRPr="00E76CA0" w:rsidTr="007C321B">
        <w:trPr>
          <w:trHeight w:val="600"/>
        </w:trPr>
        <w:tc>
          <w:tcPr>
            <w:tcW w:w="180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C321B" w:rsidRPr="00A40F94" w:rsidRDefault="007C321B" w:rsidP="007C321B">
            <w:pPr>
              <w:spacing w:after="0" w:line="240" w:lineRule="auto"/>
              <w:jc w:val="center"/>
              <w:rPr>
                <w:rFonts w:eastAsia="Times New Roman" w:cstheme="minorHAnsi"/>
                <w:b/>
                <w:bCs/>
                <w:color w:val="FFFFFF"/>
                <w:sz w:val="18"/>
                <w:szCs w:val="18"/>
              </w:rPr>
            </w:pPr>
            <w:r w:rsidRPr="00A40F94">
              <w:rPr>
                <w:rFonts w:eastAsia="Times New Roman" w:cstheme="minorHAnsi"/>
                <w:b/>
                <w:bCs/>
                <w:color w:val="FFFFFF"/>
                <w:sz w:val="18"/>
                <w:szCs w:val="18"/>
              </w:rPr>
              <w:t>Data Category</w:t>
            </w:r>
          </w:p>
        </w:tc>
        <w:tc>
          <w:tcPr>
            <w:tcW w:w="5560" w:type="dxa"/>
            <w:tcBorders>
              <w:top w:val="single" w:sz="4" w:space="0" w:color="auto"/>
              <w:left w:val="nil"/>
              <w:bottom w:val="single" w:sz="4" w:space="0" w:color="auto"/>
              <w:right w:val="single" w:sz="4" w:space="0" w:color="auto"/>
            </w:tcBorders>
            <w:shd w:val="clear" w:color="000000" w:fill="808080"/>
            <w:vAlign w:val="center"/>
            <w:hideMark/>
          </w:tcPr>
          <w:p w:rsidR="007C321B" w:rsidRPr="00A40F94" w:rsidRDefault="007C321B" w:rsidP="007C321B">
            <w:pPr>
              <w:spacing w:after="0" w:line="240" w:lineRule="auto"/>
              <w:jc w:val="center"/>
              <w:rPr>
                <w:rFonts w:eastAsia="Times New Roman" w:cstheme="minorHAnsi"/>
                <w:b/>
                <w:bCs/>
                <w:color w:val="FFFFFF"/>
                <w:sz w:val="18"/>
                <w:szCs w:val="18"/>
              </w:rPr>
            </w:pPr>
            <w:r w:rsidRPr="00A40F94">
              <w:rPr>
                <w:rFonts w:eastAsia="Times New Roman" w:cstheme="minorHAnsi"/>
                <w:b/>
                <w:bCs/>
                <w:color w:val="FFFFFF"/>
                <w:sz w:val="18"/>
                <w:szCs w:val="18"/>
              </w:rPr>
              <w:t>Data Issue</w:t>
            </w:r>
          </w:p>
        </w:tc>
        <w:tc>
          <w:tcPr>
            <w:tcW w:w="1420" w:type="dxa"/>
            <w:tcBorders>
              <w:top w:val="single" w:sz="4" w:space="0" w:color="auto"/>
              <w:left w:val="nil"/>
              <w:bottom w:val="single" w:sz="4" w:space="0" w:color="auto"/>
              <w:right w:val="single" w:sz="4" w:space="0" w:color="auto"/>
            </w:tcBorders>
            <w:shd w:val="clear" w:color="000000" w:fill="808080"/>
            <w:vAlign w:val="center"/>
            <w:hideMark/>
          </w:tcPr>
          <w:p w:rsidR="007C321B" w:rsidRPr="00A40F94" w:rsidRDefault="007C321B" w:rsidP="007C321B">
            <w:pPr>
              <w:spacing w:after="0" w:line="240" w:lineRule="auto"/>
              <w:jc w:val="center"/>
              <w:rPr>
                <w:rFonts w:eastAsia="Times New Roman" w:cstheme="minorHAnsi"/>
                <w:b/>
                <w:bCs/>
                <w:color w:val="FFFFFF"/>
                <w:sz w:val="18"/>
                <w:szCs w:val="18"/>
              </w:rPr>
            </w:pPr>
            <w:r w:rsidRPr="00A40F94">
              <w:rPr>
                <w:rFonts w:eastAsia="Times New Roman" w:cstheme="minorHAnsi"/>
                <w:b/>
                <w:bCs/>
                <w:color w:val="FFFFFF"/>
                <w:sz w:val="18"/>
                <w:szCs w:val="18"/>
              </w:rPr>
              <w:t>Validation Check</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FE699"/>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Building Identifier</w:t>
            </w:r>
          </w:p>
        </w:tc>
        <w:tc>
          <w:tcPr>
            <w:tcW w:w="5560" w:type="dxa"/>
            <w:tcBorders>
              <w:top w:val="nil"/>
              <w:left w:val="nil"/>
              <w:bottom w:val="single" w:sz="4" w:space="0" w:color="auto"/>
              <w:right w:val="single" w:sz="4" w:space="0" w:color="auto"/>
            </w:tcBorders>
            <w:shd w:val="clear" w:color="000000" w:fill="FFE699"/>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Building Identifier not unique</w:t>
            </w:r>
          </w:p>
        </w:tc>
        <w:tc>
          <w:tcPr>
            <w:tcW w:w="1420" w:type="dxa"/>
            <w:tcBorders>
              <w:top w:val="nil"/>
              <w:left w:val="nil"/>
              <w:bottom w:val="single" w:sz="4" w:space="0" w:color="auto"/>
              <w:right w:val="single" w:sz="4" w:space="0" w:color="auto"/>
            </w:tcBorders>
            <w:shd w:val="clear" w:color="000000" w:fill="FFE699"/>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FE699"/>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Building Identifier</w:t>
            </w:r>
          </w:p>
        </w:tc>
        <w:tc>
          <w:tcPr>
            <w:tcW w:w="5560" w:type="dxa"/>
            <w:tcBorders>
              <w:top w:val="nil"/>
              <w:left w:val="nil"/>
              <w:bottom w:val="single" w:sz="4" w:space="0" w:color="auto"/>
              <w:right w:val="single" w:sz="4" w:space="0" w:color="auto"/>
            </w:tcBorders>
            <w:shd w:val="clear" w:color="000000" w:fill="FFE699"/>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Building elements missing, incomplete, duplicate</w:t>
            </w:r>
          </w:p>
        </w:tc>
        <w:tc>
          <w:tcPr>
            <w:tcW w:w="1420" w:type="dxa"/>
            <w:tcBorders>
              <w:top w:val="nil"/>
              <w:left w:val="nil"/>
              <w:bottom w:val="single" w:sz="4" w:space="0" w:color="auto"/>
              <w:right w:val="single" w:sz="4" w:space="0" w:color="auto"/>
            </w:tcBorders>
            <w:shd w:val="clear" w:color="000000" w:fill="FFE699"/>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435"/>
        </w:trPr>
        <w:tc>
          <w:tcPr>
            <w:tcW w:w="1800" w:type="dxa"/>
            <w:tcBorders>
              <w:top w:val="nil"/>
              <w:left w:val="single" w:sz="4" w:space="0" w:color="auto"/>
              <w:bottom w:val="single" w:sz="4" w:space="0" w:color="auto"/>
              <w:right w:val="single" w:sz="4" w:space="0" w:color="auto"/>
            </w:tcBorders>
            <w:shd w:val="clear" w:color="000000" w:fill="FFE699"/>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Building Identifier</w:t>
            </w:r>
          </w:p>
        </w:tc>
        <w:tc>
          <w:tcPr>
            <w:tcW w:w="5560" w:type="dxa"/>
            <w:tcBorders>
              <w:top w:val="nil"/>
              <w:left w:val="nil"/>
              <w:bottom w:val="single" w:sz="4" w:space="0" w:color="auto"/>
              <w:right w:val="single" w:sz="4" w:space="0" w:color="auto"/>
            </w:tcBorders>
            <w:shd w:val="clear" w:color="000000" w:fill="FFE699"/>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xml:space="preserve">Parcel ID/Address No. don’t correspond correctly to Building-ID </w:t>
            </w:r>
          </w:p>
        </w:tc>
        <w:tc>
          <w:tcPr>
            <w:tcW w:w="1420" w:type="dxa"/>
            <w:tcBorders>
              <w:top w:val="nil"/>
              <w:left w:val="nil"/>
              <w:bottom w:val="single" w:sz="4" w:space="0" w:color="auto"/>
              <w:right w:val="single" w:sz="4" w:space="0" w:color="auto"/>
            </w:tcBorders>
            <w:shd w:val="clear" w:color="000000" w:fill="FFE699"/>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2F2F2"/>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Parcel Geometry</w:t>
            </w:r>
          </w:p>
        </w:tc>
        <w:tc>
          <w:tcPr>
            <w:tcW w:w="5560" w:type="dxa"/>
            <w:tcBorders>
              <w:top w:val="nil"/>
              <w:left w:val="nil"/>
              <w:bottom w:val="single" w:sz="4" w:space="0" w:color="auto"/>
              <w:right w:val="single" w:sz="4" w:space="0" w:color="auto"/>
            </w:tcBorders>
            <w:shd w:val="clear" w:color="000000" w:fill="F2F2F2"/>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Parcel Geometry misalignment</w:t>
            </w:r>
          </w:p>
        </w:tc>
        <w:tc>
          <w:tcPr>
            <w:tcW w:w="1420" w:type="dxa"/>
            <w:tcBorders>
              <w:top w:val="nil"/>
              <w:left w:val="nil"/>
              <w:bottom w:val="single" w:sz="4" w:space="0" w:color="auto"/>
              <w:right w:val="single" w:sz="4" w:space="0" w:color="auto"/>
            </w:tcBorders>
            <w:shd w:val="clear" w:color="000000" w:fill="F2F2F2"/>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2F2F2"/>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Parcel Geometry</w:t>
            </w:r>
          </w:p>
        </w:tc>
        <w:tc>
          <w:tcPr>
            <w:tcW w:w="5560" w:type="dxa"/>
            <w:tcBorders>
              <w:top w:val="nil"/>
              <w:left w:val="nil"/>
              <w:bottom w:val="single" w:sz="4" w:space="0" w:color="auto"/>
              <w:right w:val="single" w:sz="4" w:space="0" w:color="auto"/>
            </w:tcBorders>
            <w:shd w:val="clear" w:color="000000" w:fill="F2F2F2"/>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No GIS Parcel Geometry</w:t>
            </w:r>
          </w:p>
        </w:tc>
        <w:tc>
          <w:tcPr>
            <w:tcW w:w="1420" w:type="dxa"/>
            <w:tcBorders>
              <w:top w:val="nil"/>
              <w:left w:val="nil"/>
              <w:bottom w:val="single" w:sz="4" w:space="0" w:color="auto"/>
              <w:right w:val="single" w:sz="4" w:space="0" w:color="auto"/>
            </w:tcBorders>
            <w:shd w:val="clear" w:color="000000" w:fill="F2F2F2"/>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Site Address wrong</w:t>
            </w:r>
          </w:p>
        </w:tc>
        <w:tc>
          <w:tcPr>
            <w:tcW w:w="1420" w:type="dxa"/>
            <w:tcBorders>
              <w:top w:val="nil"/>
              <w:left w:val="nil"/>
              <w:bottom w:val="single" w:sz="4" w:space="0" w:color="auto"/>
              <w:right w:val="single" w:sz="4" w:space="0" w:color="auto"/>
            </w:tcBorders>
            <w:shd w:val="clear" w:color="000000" w:fill="E2EFDA"/>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 GIS</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 xml:space="preserve">Site Address for structure located outside of parcel </w:t>
            </w:r>
          </w:p>
        </w:tc>
        <w:tc>
          <w:tcPr>
            <w:tcW w:w="1420" w:type="dxa"/>
            <w:tcBorders>
              <w:top w:val="nil"/>
              <w:left w:val="nil"/>
              <w:bottom w:val="single" w:sz="4" w:space="0" w:color="auto"/>
              <w:right w:val="single" w:sz="4" w:space="0" w:color="auto"/>
            </w:tcBorders>
            <w:shd w:val="clear" w:color="000000" w:fill="E2EFDA"/>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No Site Address</w:t>
            </w:r>
          </w:p>
        </w:tc>
        <w:tc>
          <w:tcPr>
            <w:tcW w:w="1420" w:type="dxa"/>
            <w:tcBorders>
              <w:top w:val="nil"/>
              <w:left w:val="nil"/>
              <w:bottom w:val="single" w:sz="4" w:space="0" w:color="auto"/>
              <w:right w:val="single" w:sz="4" w:space="0" w:color="auto"/>
            </w:tcBorders>
            <w:shd w:val="clear" w:color="000000" w:fill="E2EFDA"/>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510"/>
        </w:trPr>
        <w:tc>
          <w:tcPr>
            <w:tcW w:w="1800" w:type="dxa"/>
            <w:tcBorders>
              <w:top w:val="nil"/>
              <w:left w:val="single" w:sz="4" w:space="0" w:color="auto"/>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Missing any elements of Full Address (Address Number, Street Name, City, Zip)</w:t>
            </w:r>
          </w:p>
        </w:tc>
        <w:tc>
          <w:tcPr>
            <w:tcW w:w="1420" w:type="dxa"/>
            <w:tcBorders>
              <w:top w:val="nil"/>
              <w:left w:val="nil"/>
              <w:bottom w:val="single" w:sz="4" w:space="0" w:color="auto"/>
              <w:right w:val="single" w:sz="4" w:space="0" w:color="auto"/>
            </w:tcBorders>
            <w:shd w:val="clear" w:color="000000" w:fill="E2EFDA"/>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E-911 Address</w:t>
            </w:r>
          </w:p>
        </w:tc>
        <w:tc>
          <w:tcPr>
            <w:tcW w:w="5560" w:type="dxa"/>
            <w:tcBorders>
              <w:top w:val="nil"/>
              <w:left w:val="nil"/>
              <w:bottom w:val="single" w:sz="4" w:space="0" w:color="auto"/>
              <w:right w:val="single" w:sz="4" w:space="0" w:color="auto"/>
            </w:tcBorders>
            <w:shd w:val="clear" w:color="000000" w:fill="E2EFDA"/>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Duplicate Addresses</w:t>
            </w:r>
          </w:p>
        </w:tc>
        <w:tc>
          <w:tcPr>
            <w:tcW w:w="1420" w:type="dxa"/>
            <w:tcBorders>
              <w:top w:val="nil"/>
              <w:left w:val="nil"/>
              <w:bottom w:val="single" w:sz="4" w:space="0" w:color="auto"/>
              <w:right w:val="single" w:sz="4" w:space="0" w:color="auto"/>
            </w:tcBorders>
            <w:shd w:val="clear" w:color="000000" w:fill="E2EFDA"/>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FCCFF"/>
            <w:vAlign w:val="center"/>
            <w:hideMark/>
          </w:tcPr>
          <w:p w:rsidR="007C321B" w:rsidRPr="00A40F94" w:rsidRDefault="007C321B" w:rsidP="007C321B">
            <w:pPr>
              <w:spacing w:after="0" w:line="240" w:lineRule="auto"/>
              <w:rPr>
                <w:rFonts w:eastAsia="Times New Roman" w:cstheme="minorHAnsi"/>
                <w:b/>
                <w:bCs/>
                <w:sz w:val="18"/>
                <w:szCs w:val="18"/>
              </w:rPr>
            </w:pPr>
            <w:r w:rsidRPr="00A40F94">
              <w:rPr>
                <w:rFonts w:eastAsia="Times New Roman" w:cstheme="minorHAnsi"/>
                <w:b/>
                <w:bCs/>
                <w:sz w:val="18"/>
                <w:szCs w:val="18"/>
              </w:rPr>
              <w:t>Imagery</w:t>
            </w:r>
          </w:p>
        </w:tc>
        <w:tc>
          <w:tcPr>
            <w:tcW w:w="5560" w:type="dxa"/>
            <w:tcBorders>
              <w:top w:val="nil"/>
              <w:left w:val="nil"/>
              <w:bottom w:val="single" w:sz="4" w:space="0" w:color="auto"/>
              <w:right w:val="single" w:sz="4" w:space="0" w:color="auto"/>
            </w:tcBorders>
            <w:shd w:val="clear" w:color="000000" w:fill="FFCCFF"/>
            <w:vAlign w:val="center"/>
            <w:hideMark/>
          </w:tcPr>
          <w:p w:rsidR="007C321B" w:rsidRPr="00A40F94" w:rsidRDefault="007C321B" w:rsidP="007C321B">
            <w:pPr>
              <w:spacing w:after="0" w:line="240" w:lineRule="auto"/>
              <w:rPr>
                <w:rFonts w:eastAsia="Times New Roman" w:cstheme="minorHAnsi"/>
                <w:sz w:val="18"/>
                <w:szCs w:val="18"/>
              </w:rPr>
            </w:pPr>
            <w:r w:rsidRPr="00A40F94">
              <w:rPr>
                <w:rFonts w:eastAsia="Times New Roman" w:cstheme="minorHAnsi"/>
                <w:sz w:val="18"/>
                <w:szCs w:val="18"/>
              </w:rPr>
              <w:t xml:space="preserve">Imagery - No building visible in imagery </w:t>
            </w:r>
          </w:p>
        </w:tc>
        <w:tc>
          <w:tcPr>
            <w:tcW w:w="1420" w:type="dxa"/>
            <w:tcBorders>
              <w:top w:val="nil"/>
              <w:left w:val="nil"/>
              <w:bottom w:val="single" w:sz="4" w:space="0" w:color="auto"/>
              <w:right w:val="single" w:sz="4" w:space="0" w:color="auto"/>
            </w:tcBorders>
            <w:shd w:val="clear" w:color="000000" w:fill="FFCCFF"/>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765"/>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Neighboring parcel assessment record matches to parcel with structure.  Ensure correct BIE foundation type, occupancy class, etc. from neighboring parcel are copied to parcel with structure.</w:t>
            </w:r>
          </w:p>
        </w:tc>
        <w:tc>
          <w:tcPr>
            <w:tcW w:w="1420" w:type="dxa"/>
            <w:tcBorders>
              <w:top w:val="nil"/>
              <w:left w:val="nil"/>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 GIS</w:t>
            </w:r>
          </w:p>
        </w:tc>
      </w:tr>
      <w:tr w:rsidR="007C321B" w:rsidRPr="00E76CA0" w:rsidTr="007C321B">
        <w:trPr>
          <w:trHeight w:val="510"/>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Missing key building attributes:  Building Value, Occupancy Class, Foundation Code, Stories, Area</w:t>
            </w:r>
          </w:p>
        </w:tc>
        <w:tc>
          <w:tcPr>
            <w:tcW w:w="1420" w:type="dxa"/>
            <w:tcBorders>
              <w:top w:val="nil"/>
              <w:left w:val="nil"/>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Sort on highest building values - verify</w:t>
            </w:r>
          </w:p>
        </w:tc>
        <w:tc>
          <w:tcPr>
            <w:tcW w:w="1420" w:type="dxa"/>
            <w:tcBorders>
              <w:top w:val="nil"/>
              <w:left w:val="nil"/>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510"/>
        </w:trPr>
        <w:tc>
          <w:tcPr>
            <w:tcW w:w="1800" w:type="dxa"/>
            <w:tcBorders>
              <w:top w:val="nil"/>
              <w:left w:val="single" w:sz="4" w:space="0" w:color="auto"/>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Assessment Record</w:t>
            </w:r>
          </w:p>
        </w:tc>
        <w:tc>
          <w:tcPr>
            <w:tcW w:w="5560" w:type="dxa"/>
            <w:tcBorders>
              <w:top w:val="nil"/>
              <w:left w:val="nil"/>
              <w:bottom w:val="single" w:sz="4" w:space="0" w:color="auto"/>
              <w:right w:val="single" w:sz="4" w:space="0" w:color="auto"/>
            </w:tcBorders>
            <w:shd w:val="clear" w:color="000000" w:fill="FFFFCC"/>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Verify with other Essential Facility and Community Asset geodatabases</w:t>
            </w:r>
          </w:p>
        </w:tc>
        <w:tc>
          <w:tcPr>
            <w:tcW w:w="1420" w:type="dxa"/>
            <w:tcBorders>
              <w:top w:val="nil"/>
              <w:left w:val="nil"/>
              <w:bottom w:val="single" w:sz="4" w:space="0" w:color="auto"/>
              <w:right w:val="single" w:sz="4" w:space="0" w:color="auto"/>
            </w:tcBorders>
            <w:shd w:val="clear" w:color="000000" w:fill="FFFFCC"/>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xml:space="preserve">BIE Table, GIS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DDEBF7"/>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Stream Name</w:t>
            </w:r>
          </w:p>
        </w:tc>
        <w:tc>
          <w:tcPr>
            <w:tcW w:w="5560" w:type="dxa"/>
            <w:tcBorders>
              <w:top w:val="nil"/>
              <w:left w:val="nil"/>
              <w:bottom w:val="single" w:sz="4" w:space="0" w:color="auto"/>
              <w:right w:val="single" w:sz="4" w:space="0" w:color="auto"/>
            </w:tcBorders>
            <w:shd w:val="clear" w:color="000000" w:fill="DDEBF7"/>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Stream Name missing.  Update Stream Query Layer.</w:t>
            </w:r>
          </w:p>
        </w:tc>
        <w:tc>
          <w:tcPr>
            <w:tcW w:w="1420" w:type="dxa"/>
            <w:tcBorders>
              <w:top w:val="nil"/>
              <w:left w:val="nil"/>
              <w:bottom w:val="single" w:sz="4" w:space="0" w:color="auto"/>
              <w:right w:val="single" w:sz="4" w:space="0" w:color="auto"/>
            </w:tcBorders>
            <w:shd w:val="clear" w:color="000000" w:fill="DDEBF7"/>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DDEBF7"/>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Water Depth</w:t>
            </w:r>
          </w:p>
        </w:tc>
        <w:tc>
          <w:tcPr>
            <w:tcW w:w="5560" w:type="dxa"/>
            <w:tcBorders>
              <w:top w:val="nil"/>
              <w:left w:val="nil"/>
              <w:bottom w:val="single" w:sz="4" w:space="0" w:color="auto"/>
              <w:right w:val="single" w:sz="4" w:space="0" w:color="auto"/>
            </w:tcBorders>
            <w:shd w:val="clear" w:color="000000" w:fill="DDEBF7"/>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Sort on highest water depth values - verify</w:t>
            </w:r>
          </w:p>
        </w:tc>
        <w:tc>
          <w:tcPr>
            <w:tcW w:w="1420" w:type="dxa"/>
            <w:tcBorders>
              <w:top w:val="nil"/>
              <w:left w:val="nil"/>
              <w:bottom w:val="single" w:sz="4" w:space="0" w:color="auto"/>
              <w:right w:val="single" w:sz="4" w:space="0" w:color="auto"/>
            </w:tcBorders>
            <w:shd w:val="clear" w:color="000000" w:fill="DDEBF7"/>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BIE Table</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5560" w:type="dxa"/>
            <w:tcBorders>
              <w:top w:val="nil"/>
              <w:left w:val="nil"/>
              <w:bottom w:val="single" w:sz="4" w:space="0" w:color="auto"/>
              <w:right w:val="single" w:sz="4" w:space="0" w:color="auto"/>
            </w:tcBorders>
            <w:shd w:val="clear" w:color="auto" w:fill="auto"/>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c>
          <w:tcPr>
            <w:tcW w:w="1420" w:type="dxa"/>
            <w:tcBorders>
              <w:top w:val="nil"/>
              <w:left w:val="nil"/>
              <w:bottom w:val="single" w:sz="4" w:space="0" w:color="auto"/>
              <w:right w:val="single" w:sz="4" w:space="0" w:color="auto"/>
            </w:tcBorders>
            <w:shd w:val="clear" w:color="auto" w:fill="auto"/>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 </w:t>
            </w:r>
          </w:p>
        </w:tc>
      </w:tr>
      <w:tr w:rsidR="007C321B" w:rsidRPr="00E76CA0" w:rsidTr="007C321B">
        <w:trPr>
          <w:trHeight w:val="300"/>
        </w:trPr>
        <w:tc>
          <w:tcPr>
            <w:tcW w:w="1800" w:type="dxa"/>
            <w:tcBorders>
              <w:top w:val="nil"/>
              <w:left w:val="single" w:sz="4" w:space="0" w:color="auto"/>
              <w:bottom w:val="single" w:sz="4" w:space="0" w:color="auto"/>
              <w:right w:val="single" w:sz="4" w:space="0" w:color="auto"/>
            </w:tcBorders>
            <w:shd w:val="clear" w:color="000000" w:fill="FEC3BE"/>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Flood Zone</w:t>
            </w:r>
          </w:p>
        </w:tc>
        <w:tc>
          <w:tcPr>
            <w:tcW w:w="5560" w:type="dxa"/>
            <w:tcBorders>
              <w:top w:val="nil"/>
              <w:left w:val="nil"/>
              <w:bottom w:val="single" w:sz="4" w:space="0" w:color="auto"/>
              <w:right w:val="single" w:sz="4" w:space="0" w:color="auto"/>
            </w:tcBorders>
            <w:shd w:val="clear" w:color="000000" w:fill="FEC3BE"/>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Building located in most restrictive flood zone</w:t>
            </w:r>
          </w:p>
        </w:tc>
        <w:tc>
          <w:tcPr>
            <w:tcW w:w="1420" w:type="dxa"/>
            <w:tcBorders>
              <w:top w:val="nil"/>
              <w:left w:val="nil"/>
              <w:bottom w:val="single" w:sz="4" w:space="0" w:color="auto"/>
              <w:right w:val="single" w:sz="4" w:space="0" w:color="auto"/>
            </w:tcBorders>
            <w:shd w:val="clear" w:color="000000" w:fill="FEC3BE"/>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rsidTr="007C321B">
        <w:trPr>
          <w:trHeight w:val="510"/>
        </w:trPr>
        <w:tc>
          <w:tcPr>
            <w:tcW w:w="1800" w:type="dxa"/>
            <w:tcBorders>
              <w:top w:val="nil"/>
              <w:left w:val="single" w:sz="4" w:space="0" w:color="auto"/>
              <w:bottom w:val="single" w:sz="4" w:space="0" w:color="auto"/>
              <w:right w:val="single" w:sz="4" w:space="0" w:color="auto"/>
            </w:tcBorders>
            <w:shd w:val="clear" w:color="000000" w:fill="FEC3BE"/>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Flood Zone</w:t>
            </w:r>
          </w:p>
        </w:tc>
        <w:tc>
          <w:tcPr>
            <w:tcW w:w="5560" w:type="dxa"/>
            <w:tcBorders>
              <w:top w:val="nil"/>
              <w:left w:val="nil"/>
              <w:bottom w:val="single" w:sz="4" w:space="0" w:color="auto"/>
              <w:right w:val="single" w:sz="4" w:space="0" w:color="auto"/>
            </w:tcBorders>
            <w:shd w:val="clear" w:color="000000" w:fill="FEC3BE"/>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Verify future map conditions of Non-Regulatory High-Risk Advisory Zones</w:t>
            </w:r>
          </w:p>
        </w:tc>
        <w:tc>
          <w:tcPr>
            <w:tcW w:w="1420" w:type="dxa"/>
            <w:tcBorders>
              <w:top w:val="nil"/>
              <w:left w:val="nil"/>
              <w:bottom w:val="single" w:sz="4" w:space="0" w:color="auto"/>
              <w:right w:val="single" w:sz="4" w:space="0" w:color="auto"/>
            </w:tcBorders>
            <w:shd w:val="clear" w:color="000000" w:fill="FEC3BE"/>
            <w:noWrap/>
            <w:vAlign w:val="center"/>
            <w:hideMark/>
          </w:tcPr>
          <w:p w:rsidR="007C321B" w:rsidRPr="00A40F94" w:rsidRDefault="007C321B" w:rsidP="007C321B">
            <w:pPr>
              <w:spacing w:after="0" w:line="240" w:lineRule="auto"/>
              <w:rPr>
                <w:rFonts w:eastAsia="Times New Roman" w:cstheme="minorHAnsi"/>
                <w:color w:val="000000"/>
                <w:sz w:val="18"/>
                <w:szCs w:val="18"/>
              </w:rPr>
            </w:pPr>
            <w:r w:rsidRPr="00A40F94">
              <w:rPr>
                <w:rFonts w:eastAsia="Times New Roman" w:cstheme="minorHAnsi"/>
                <w:color w:val="000000"/>
                <w:sz w:val="18"/>
                <w:szCs w:val="18"/>
              </w:rPr>
              <w:t>GIS Map Check</w:t>
            </w:r>
          </w:p>
        </w:tc>
      </w:tr>
      <w:tr w:rsidR="007C321B" w:rsidRPr="00E76CA0" w:rsidTr="007C321B">
        <w:trPr>
          <w:trHeight w:val="300"/>
        </w:trPr>
        <w:tc>
          <w:tcPr>
            <w:tcW w:w="1800" w:type="dxa"/>
            <w:tcBorders>
              <w:top w:val="nil"/>
              <w:left w:val="nil"/>
              <w:bottom w:val="nil"/>
              <w:right w:val="nil"/>
            </w:tcBorders>
            <w:shd w:val="clear" w:color="auto" w:fill="auto"/>
            <w:noWrap/>
            <w:vAlign w:val="bottom"/>
            <w:hideMark/>
          </w:tcPr>
          <w:p w:rsidR="007C321B" w:rsidRPr="00E76CA0" w:rsidRDefault="007C321B" w:rsidP="007C321B">
            <w:pPr>
              <w:spacing w:after="0" w:line="240" w:lineRule="auto"/>
              <w:rPr>
                <w:rFonts w:ascii="Calibri" w:eastAsia="Times New Roman" w:hAnsi="Calibri" w:cs="Calibri"/>
                <w:color w:val="000000"/>
                <w:sz w:val="20"/>
                <w:szCs w:val="20"/>
              </w:rPr>
            </w:pPr>
          </w:p>
        </w:tc>
        <w:tc>
          <w:tcPr>
            <w:tcW w:w="5560" w:type="dxa"/>
            <w:tcBorders>
              <w:top w:val="nil"/>
              <w:left w:val="nil"/>
              <w:bottom w:val="nil"/>
              <w:right w:val="nil"/>
            </w:tcBorders>
            <w:shd w:val="clear" w:color="auto" w:fill="auto"/>
            <w:vAlign w:val="bottom"/>
            <w:hideMark/>
          </w:tcPr>
          <w:p w:rsidR="007C321B" w:rsidRPr="00E76CA0" w:rsidRDefault="007C321B" w:rsidP="007C321B">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rsidR="007C321B" w:rsidRPr="00E76CA0" w:rsidRDefault="007C321B" w:rsidP="007C321B">
            <w:pPr>
              <w:spacing w:after="0" w:line="240" w:lineRule="auto"/>
              <w:rPr>
                <w:rFonts w:ascii="Times New Roman" w:eastAsia="Times New Roman" w:hAnsi="Times New Roman" w:cs="Times New Roman"/>
                <w:sz w:val="20"/>
                <w:szCs w:val="20"/>
              </w:rPr>
            </w:pPr>
          </w:p>
        </w:tc>
      </w:tr>
      <w:tr w:rsidR="007C321B" w:rsidRPr="00E76CA0" w:rsidTr="007C321B">
        <w:trPr>
          <w:trHeight w:val="300"/>
        </w:trPr>
        <w:tc>
          <w:tcPr>
            <w:tcW w:w="1800" w:type="dxa"/>
            <w:tcBorders>
              <w:top w:val="nil"/>
              <w:left w:val="nil"/>
              <w:bottom w:val="nil"/>
              <w:right w:val="nil"/>
            </w:tcBorders>
            <w:shd w:val="clear" w:color="auto" w:fill="auto"/>
            <w:noWrap/>
            <w:vAlign w:val="bottom"/>
            <w:hideMark/>
          </w:tcPr>
          <w:p w:rsidR="007C321B" w:rsidRPr="00E76CA0" w:rsidRDefault="007C321B" w:rsidP="007C321B">
            <w:pPr>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bottom"/>
            <w:hideMark/>
          </w:tcPr>
          <w:p w:rsidR="007C321B" w:rsidRPr="00E76CA0" w:rsidRDefault="007C321B" w:rsidP="007C321B">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rsidR="007C321B" w:rsidRPr="00E76CA0" w:rsidRDefault="007C321B" w:rsidP="007C321B">
            <w:pPr>
              <w:spacing w:after="0" w:line="240" w:lineRule="auto"/>
              <w:rPr>
                <w:rFonts w:ascii="Times New Roman" w:eastAsia="Times New Roman" w:hAnsi="Times New Roman" w:cs="Times New Roman"/>
                <w:sz w:val="20"/>
                <w:szCs w:val="20"/>
              </w:rPr>
            </w:pPr>
          </w:p>
        </w:tc>
      </w:tr>
      <w:tr w:rsidR="007C321B" w:rsidRPr="00E76CA0" w:rsidTr="007C321B">
        <w:trPr>
          <w:trHeight w:val="915"/>
        </w:trPr>
        <w:tc>
          <w:tcPr>
            <w:tcW w:w="8780" w:type="dxa"/>
            <w:gridSpan w:val="3"/>
            <w:tcBorders>
              <w:top w:val="nil"/>
              <w:left w:val="nil"/>
              <w:bottom w:val="nil"/>
              <w:right w:val="nil"/>
            </w:tcBorders>
            <w:shd w:val="clear" w:color="auto" w:fill="auto"/>
            <w:hideMark/>
          </w:tcPr>
          <w:p w:rsidR="007C321B" w:rsidRPr="00E76CA0" w:rsidRDefault="007C321B" w:rsidP="007C321B">
            <w:pPr>
              <w:spacing w:after="0" w:line="240" w:lineRule="auto"/>
              <w:rPr>
                <w:rFonts w:ascii="Calibri" w:eastAsia="Times New Roman" w:hAnsi="Calibri" w:cs="Calibri"/>
                <w:color w:val="000000"/>
              </w:rPr>
            </w:pPr>
            <w:r w:rsidRPr="00E76CA0">
              <w:rPr>
                <w:rFonts w:ascii="Calibri" w:eastAsia="Times New Roman" w:hAnsi="Calibri" w:cs="Calibri"/>
                <w:color w:val="000000"/>
              </w:rPr>
              <w:t xml:space="preserve">Note:  All user-supplied values should be </w:t>
            </w:r>
            <w:r w:rsidRPr="00E76CA0">
              <w:rPr>
                <w:rFonts w:ascii="Calibri" w:eastAsia="Times New Roman" w:hAnsi="Calibri" w:cs="Calibri"/>
                <w:color w:val="FF0000"/>
              </w:rPr>
              <w:t>red color</w:t>
            </w:r>
            <w:r w:rsidRPr="00E76CA0">
              <w:rPr>
                <w:rFonts w:ascii="Calibri" w:eastAsia="Times New Roman" w:hAnsi="Calibri" w:cs="Calibri"/>
                <w:color w:val="000000"/>
              </w:rPr>
              <w:t xml:space="preserve"> in Building Inventory Enhanced File.  Make sure corresponding Data Issue description codes are selected.</w:t>
            </w:r>
          </w:p>
        </w:tc>
      </w:tr>
    </w:tbl>
    <w:p w:rsidR="007C321B" w:rsidRDefault="007C321B" w:rsidP="00655B64">
      <w:pPr>
        <w:pStyle w:val="TableFigure"/>
        <w:spacing w:after="0"/>
      </w:pPr>
      <w:bookmarkStart w:id="59" w:name="_Toc34317968"/>
      <w:bookmarkStart w:id="60" w:name="_Toc34388246"/>
      <w:r w:rsidRPr="0020384A">
        <w:lastRenderedPageBreak/>
        <w:t xml:space="preserve">Table </w:t>
      </w:r>
      <w:r>
        <w:t>1</w:t>
      </w:r>
      <w:r w:rsidR="0084432D">
        <w:t>4</w:t>
      </w:r>
      <w:r w:rsidRPr="0020384A">
        <w:t>.</w:t>
      </w:r>
      <w:r>
        <w:t xml:space="preserve">  Building Inventory Enhanced (BIE) Attributes</w:t>
      </w:r>
      <w:bookmarkEnd w:id="59"/>
      <w:bookmarkEnd w:id="60"/>
      <w:r>
        <w:t xml:space="preserve"> </w:t>
      </w:r>
    </w:p>
    <w:tbl>
      <w:tblPr>
        <w:tblW w:w="10395" w:type="dxa"/>
        <w:tblLook w:val="04A0" w:firstRow="1" w:lastRow="0" w:firstColumn="1" w:lastColumn="0" w:noHBand="0" w:noVBand="1"/>
      </w:tblPr>
      <w:tblGrid>
        <w:gridCol w:w="2281"/>
        <w:gridCol w:w="2124"/>
        <w:gridCol w:w="1190"/>
        <w:gridCol w:w="4800"/>
      </w:tblGrid>
      <w:tr w:rsidR="007C321B" w:rsidRPr="000166EC" w:rsidTr="007C321B">
        <w:trPr>
          <w:trHeight w:val="300"/>
          <w:tblHeader/>
        </w:trPr>
        <w:tc>
          <w:tcPr>
            <w:tcW w:w="228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Field Name</w:t>
            </w:r>
          </w:p>
        </w:tc>
        <w:tc>
          <w:tcPr>
            <w:tcW w:w="2124" w:type="dxa"/>
            <w:tcBorders>
              <w:top w:val="single" w:sz="4" w:space="0" w:color="auto"/>
              <w:left w:val="nil"/>
              <w:bottom w:val="single" w:sz="4" w:space="0" w:color="auto"/>
              <w:right w:val="single" w:sz="4" w:space="0" w:color="auto"/>
            </w:tcBorders>
            <w:shd w:val="clear" w:color="auto" w:fill="808080" w:themeFill="background1" w:themeFillShade="80"/>
            <w:vAlign w:val="bottom"/>
          </w:tcPr>
          <w:p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Description</w:t>
            </w:r>
          </w:p>
        </w:tc>
        <w:tc>
          <w:tcPr>
            <w:tcW w:w="1190"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Category</w:t>
            </w:r>
          </w:p>
        </w:tc>
        <w:tc>
          <w:tcPr>
            <w:tcW w:w="4800"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rsidR="007C321B" w:rsidRPr="000166EC" w:rsidRDefault="007C321B" w:rsidP="007C321B">
            <w:pPr>
              <w:spacing w:after="0" w:line="240" w:lineRule="auto"/>
              <w:jc w:val="center"/>
              <w:rPr>
                <w:rFonts w:eastAsia="Times New Roman" w:cstheme="minorHAnsi"/>
                <w:b/>
                <w:color w:val="FFFFFF" w:themeColor="background1"/>
                <w:sz w:val="16"/>
                <w:szCs w:val="16"/>
              </w:rPr>
            </w:pPr>
            <w:r w:rsidRPr="000166EC">
              <w:rPr>
                <w:rFonts w:eastAsia="Times New Roman" w:cstheme="minorHAnsi"/>
                <w:b/>
                <w:color w:val="FFFFFF" w:themeColor="background1"/>
                <w:sz w:val="16"/>
                <w:szCs w:val="16"/>
              </w:rPr>
              <w:t>Sample Data Value</w:t>
            </w:r>
          </w:p>
        </w:tc>
      </w:tr>
      <w:tr w:rsidR="007C321B" w:rsidRPr="000166EC" w:rsidTr="007C321B">
        <w:trPr>
          <w:trHeight w:val="300"/>
        </w:trPr>
        <w:tc>
          <w:tcPr>
            <w:tcW w:w="2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Lat</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Latitude</w:t>
            </w:r>
          </w:p>
        </w:tc>
        <w:tc>
          <w:tcPr>
            <w:tcW w:w="1190" w:type="dxa"/>
            <w:tcBorders>
              <w:top w:val="single" w:sz="4" w:space="0" w:color="auto"/>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single" w:sz="4" w:space="0" w:color="auto"/>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39.463181</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Long</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Longitude</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-77.83959</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Plus_Code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Google Plus Code (11-Digits)</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87F4F576+75F</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Building_ID</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Unique Building Identifier</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02-08-0013-0013-0000_801</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Building_Type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Primary Building (P Code)</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Full_E-911_Address</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Complete E-911 Address</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801 TURNER RD, SHEPHERDSTOWN, WV, 25443</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GIS_Parcel_ID</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GIS Parcel Identifier</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02-08-0013-0013-0000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IAS_ID</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Record Override ID</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WV_Flood_Tool_Link</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WV Flood Tool Link (RiskMAP View)</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E4262" w:rsidP="007C321B">
            <w:pPr>
              <w:spacing w:after="0" w:line="240" w:lineRule="auto"/>
              <w:rPr>
                <w:rFonts w:eastAsia="Times New Roman" w:cstheme="minorHAnsi"/>
                <w:color w:val="0000FF"/>
                <w:sz w:val="16"/>
                <w:szCs w:val="16"/>
                <w:u w:val="single"/>
              </w:rPr>
            </w:pPr>
            <w:hyperlink r:id="rId38" w:history="1">
              <w:r w:rsidR="007C321B" w:rsidRPr="000166EC">
                <w:rPr>
                  <w:rFonts w:eastAsia="Times New Roman" w:cstheme="minorHAnsi"/>
                  <w:color w:val="0000FF"/>
                  <w:sz w:val="16"/>
                  <w:szCs w:val="16"/>
                  <w:u w:val="single"/>
                </w:rPr>
                <w:t>https://mapwv.gov/flood/map/?wkid=102100&amp;x=-8665063.574442726&amp;y=4788237.0562021565&amp;l=13&amp;v=2</w:t>
              </w:r>
            </w:hyperlink>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WV_Parcel_Assessment_Link</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WV Detailed Assessment Report</w:t>
            </w:r>
          </w:p>
        </w:tc>
        <w:tc>
          <w:tcPr>
            <w:tcW w:w="1190" w:type="dxa"/>
            <w:tcBorders>
              <w:top w:val="nil"/>
              <w:left w:val="nil"/>
              <w:bottom w:val="single" w:sz="4" w:space="0" w:color="auto"/>
              <w:right w:val="single" w:sz="4" w:space="0" w:color="auto"/>
            </w:tcBorders>
            <w:shd w:val="clear" w:color="000000" w:fill="FFFF00"/>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Identification</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E4262" w:rsidP="007C321B">
            <w:pPr>
              <w:spacing w:after="0" w:line="240" w:lineRule="auto"/>
              <w:rPr>
                <w:rFonts w:eastAsia="Times New Roman" w:cstheme="minorHAnsi"/>
                <w:color w:val="0000FF"/>
                <w:sz w:val="16"/>
                <w:szCs w:val="16"/>
                <w:u w:val="single"/>
              </w:rPr>
            </w:pPr>
            <w:hyperlink r:id="rId39" w:history="1">
              <w:r w:rsidR="007C321B" w:rsidRPr="000166EC">
                <w:rPr>
                  <w:rFonts w:eastAsia="Times New Roman" w:cstheme="minorHAnsi"/>
                  <w:color w:val="0000FF"/>
                  <w:sz w:val="16"/>
                  <w:szCs w:val="16"/>
                  <w:u w:val="single"/>
                </w:rPr>
                <w:t>https://mapwv.gov/Assessment/Detail/?PID=02080013001300000000</w:t>
              </w:r>
            </w:hyperlink>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CID</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FEMA Community Identifier</w:t>
            </w:r>
          </w:p>
        </w:tc>
        <w:tc>
          <w:tcPr>
            <w:tcW w:w="1190" w:type="dxa"/>
            <w:tcBorders>
              <w:top w:val="nil"/>
              <w:left w:val="nil"/>
              <w:bottom w:val="single" w:sz="4" w:space="0" w:color="auto"/>
              <w:right w:val="single" w:sz="4" w:space="0" w:color="auto"/>
            </w:tcBorders>
            <w:shd w:val="clear" w:color="000000" w:fill="F2DCDB"/>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540065</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Community_Name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 Name</w:t>
            </w:r>
          </w:p>
        </w:tc>
        <w:tc>
          <w:tcPr>
            <w:tcW w:w="1190" w:type="dxa"/>
            <w:tcBorders>
              <w:top w:val="nil"/>
              <w:left w:val="nil"/>
              <w:bottom w:val="single" w:sz="4" w:space="0" w:color="auto"/>
              <w:right w:val="single" w:sz="4" w:space="0" w:color="auto"/>
            </w:tcBorders>
            <w:shd w:val="clear" w:color="000000" w:fill="F2DCDB"/>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Jefferson County</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County</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County Name</w:t>
            </w:r>
          </w:p>
        </w:tc>
        <w:tc>
          <w:tcPr>
            <w:tcW w:w="1190" w:type="dxa"/>
            <w:tcBorders>
              <w:top w:val="nil"/>
              <w:left w:val="nil"/>
              <w:bottom w:val="single" w:sz="4" w:space="0" w:color="auto"/>
              <w:right w:val="single" w:sz="4" w:space="0" w:color="auto"/>
            </w:tcBorders>
            <w:shd w:val="clear" w:color="000000" w:fill="F2DCDB"/>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JEFFERSON COUNTY</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Incorporated_Unincorporated</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Incorporated or Unincorporated</w:t>
            </w:r>
          </w:p>
        </w:tc>
        <w:tc>
          <w:tcPr>
            <w:tcW w:w="1190" w:type="dxa"/>
            <w:tcBorders>
              <w:top w:val="nil"/>
              <w:left w:val="nil"/>
              <w:bottom w:val="single" w:sz="4" w:space="0" w:color="auto"/>
              <w:right w:val="single" w:sz="4" w:space="0" w:color="auto"/>
            </w:tcBorders>
            <w:shd w:val="clear" w:color="000000" w:fill="F2DCDB"/>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Community</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Unincorporated</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Stream_Name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Stream Name</w:t>
            </w:r>
          </w:p>
        </w:tc>
        <w:tc>
          <w:tcPr>
            <w:tcW w:w="1190" w:type="dxa"/>
            <w:tcBorders>
              <w:top w:val="nil"/>
              <w:left w:val="nil"/>
              <w:bottom w:val="single" w:sz="4" w:space="0" w:color="auto"/>
              <w:right w:val="single" w:sz="4" w:space="0" w:color="auto"/>
            </w:tcBorders>
            <w:shd w:val="clear" w:color="000000" w:fill="DCE6F1"/>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xml:space="preserve">Stream </w:t>
            </w:r>
            <w:r>
              <w:rPr>
                <w:rFonts w:eastAsia="Times New Roman" w:cstheme="minorHAnsi"/>
                <w:color w:val="000000"/>
                <w:sz w:val="16"/>
                <w:szCs w:val="16"/>
              </w:rPr>
              <w:t>Info</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Rockymarsh</w:t>
            </w:r>
            <w:proofErr w:type="spellEnd"/>
            <w:r w:rsidRPr="000166EC">
              <w:rPr>
                <w:rFonts w:eastAsia="Times New Roman" w:cstheme="minorHAnsi"/>
                <w:color w:val="000000"/>
                <w:sz w:val="16"/>
                <w:szCs w:val="16"/>
              </w:rPr>
              <w:t xml:space="preserve"> Run</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Watershed_HUC8</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Watershed Name (HUC-8)</w:t>
            </w:r>
          </w:p>
        </w:tc>
        <w:tc>
          <w:tcPr>
            <w:tcW w:w="1190" w:type="dxa"/>
            <w:tcBorders>
              <w:top w:val="nil"/>
              <w:left w:val="nil"/>
              <w:bottom w:val="single" w:sz="4" w:space="0" w:color="auto"/>
              <w:right w:val="single" w:sz="4" w:space="0" w:color="auto"/>
            </w:tcBorders>
            <w:shd w:val="clear" w:color="000000" w:fill="DCE6F1"/>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Stream</w:t>
            </w:r>
            <w:r>
              <w:rPr>
                <w:rFonts w:eastAsia="Times New Roman" w:cstheme="minorHAnsi"/>
                <w:color w:val="000000"/>
                <w:sz w:val="16"/>
                <w:szCs w:val="16"/>
              </w:rPr>
              <w:t xml:space="preserve"> Info</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Conococheague-Opequon</w:t>
            </w:r>
            <w:proofErr w:type="spellEnd"/>
            <w:r w:rsidRPr="000166EC">
              <w:rPr>
                <w:rFonts w:eastAsia="Times New Roman" w:cstheme="minorHAnsi"/>
                <w:color w:val="000000"/>
                <w:sz w:val="16"/>
                <w:szCs w:val="16"/>
              </w:rPr>
              <w:t xml:space="preserve"> (2070004)</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Flood_Zone_Designation</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 Designation (MAP-IN, MAP-OUT)</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xml:space="preserve">Effective 100 </w:t>
            </w:r>
            <w:proofErr w:type="spellStart"/>
            <w:r w:rsidRPr="000166EC">
              <w:rPr>
                <w:rFonts w:eastAsia="Times New Roman" w:cstheme="minorHAnsi"/>
                <w:color w:val="000000"/>
                <w:sz w:val="16"/>
                <w:szCs w:val="16"/>
              </w:rPr>
              <w:t>yr</w:t>
            </w:r>
            <w:proofErr w:type="spellEnd"/>
            <w:r w:rsidRPr="000166EC">
              <w:rPr>
                <w:rFonts w:eastAsia="Times New Roman" w:cstheme="minorHAnsi"/>
                <w:color w:val="000000"/>
                <w:sz w:val="16"/>
                <w:szCs w:val="16"/>
              </w:rPr>
              <w:t xml:space="preserve"> Zone A (N/A)</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Floodway</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Floodway (Y/N)</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No</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FloodPlainType_RiskLayer</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Floodplain Risk Layer Symbol</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Effective A (N/A)</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Non_Regulatory</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Non-Regulatory High Risk Advisory Zones</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Regulatory</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FIRM_Status</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Pre-FIRM or Post-FIRM</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Pre-FIRM</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Flood_Depth_Value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Depth Value</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Flood_Depth_Source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Depth Source</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WSEL_Value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 Surface Elevation</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WSEL_Source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Water Surface Elevation Source</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N/A</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Ground_Elevation</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Ground Elevation</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405.5</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Ground_Elevation_Source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Ground Elevation Source</w:t>
            </w:r>
          </w:p>
        </w:tc>
        <w:tc>
          <w:tcPr>
            <w:tcW w:w="1190" w:type="dxa"/>
            <w:tcBorders>
              <w:top w:val="nil"/>
              <w:left w:val="nil"/>
              <w:bottom w:val="single" w:sz="4" w:space="0" w:color="auto"/>
              <w:right w:val="single" w:sz="4" w:space="0" w:color="auto"/>
            </w:tcBorders>
            <w:shd w:val="clear" w:color="000000" w:fill="8DB4E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Flood Zone</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2012 FEMA Jefferson, Berkeley &amp; Morgan Lidar</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Full_Owner_Address</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Owner Address</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801 TURNER RD, SHEPHERDSTOWN, WV 25443</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Owner_Name_s</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Owner Name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MILLER LEIGHTON B BETTY V</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Year_Built</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Year</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1885</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Grade</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Grade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Property_Class_Code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Property Class (R,F,C,I,A,U,X)</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Property_Class_Description</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Property Class Description</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Farm</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Tax_Class</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Tax Class (Owner-Occupied = 2)</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Land_Use_Code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Land Use Code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112</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Land_Use_Description</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Land Use Description</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Active Farm</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lastRenderedPageBreak/>
              <w:t>Hazard_Occupancy_Code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Hazus Occupancy Class Code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AGR1</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General_Occupancy_Code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Hazus General Occupancy Class</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Agriculture</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Stories</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Number of Stories</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w:t>
            </w:r>
          </w:p>
        </w:tc>
      </w:tr>
      <w:tr w:rsidR="007C321B" w:rsidRPr="000166EC" w:rsidTr="007C321B">
        <w:trPr>
          <w:trHeight w:val="495"/>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Exterial_Wall_Type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Exterior Wall (Residential or Commercial)</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Aluminum</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Architectural_Style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Architectural Style (Residential)</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Conventional</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Structure_Area</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Structure Area (R or C)</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1864</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Basement_Type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Basement Type (R or C)</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Part</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Foundation_Type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Foundation Type - Hazus LUT</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Basement</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First_Floor_Height</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First Floor Height</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4.0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Dwelling_Value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Dwelling Value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97400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Commercial_Value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Commercial Value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OBY_Value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Out Buildings Value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8590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Building_Appraisal</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Appraisal Value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106000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Building_Value_Source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Building Value Source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(IAS)</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Total_Structures</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Total Structures on Parcel</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Accessory_Structures_Count</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Assessment: Owner Name</w:t>
            </w:r>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6</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Units</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xml:space="preserve">Assessment: Number of </w:t>
            </w:r>
            <w:proofErr w:type="spellStart"/>
            <w:r w:rsidRPr="000166EC">
              <w:rPr>
                <w:rFonts w:eastAsia="Times New Roman" w:cstheme="minorHAnsi"/>
                <w:color w:val="000000"/>
                <w:sz w:val="16"/>
                <w:szCs w:val="16"/>
              </w:rPr>
              <w:t>Untis</w:t>
            </w:r>
            <w:proofErr w:type="spellEnd"/>
          </w:p>
        </w:tc>
        <w:tc>
          <w:tcPr>
            <w:tcW w:w="1190" w:type="dxa"/>
            <w:tcBorders>
              <w:top w:val="nil"/>
              <w:left w:val="nil"/>
              <w:bottom w:val="single" w:sz="4" w:space="0" w:color="auto"/>
              <w:right w:val="single" w:sz="4" w:space="0" w:color="auto"/>
            </w:tcBorders>
            <w:shd w:val="clear" w:color="000000" w:fill="F2F2F2"/>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Building</w:t>
            </w:r>
            <w:r w:rsidRPr="00B67BDA">
              <w:rPr>
                <w:rFonts w:eastAsia="Times New Roman" w:cstheme="minorHAnsi"/>
                <w:color w:val="000000"/>
                <w:sz w:val="16"/>
                <w:szCs w:val="16"/>
              </w:rPr>
              <w:t xml:space="preserve"> Info</w:t>
            </w:r>
            <w:r w:rsidRPr="000166EC">
              <w:rPr>
                <w:rFonts w:eastAsia="Times New Roman" w:cstheme="minorHAnsi"/>
                <w:color w:val="000000"/>
                <w:sz w:val="16"/>
                <w:szCs w:val="16"/>
              </w:rPr>
              <w:t xml:space="preserve"> </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1</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FF0000"/>
                <w:sz w:val="16"/>
                <w:szCs w:val="16"/>
              </w:rPr>
            </w:pPr>
            <w:proofErr w:type="spellStart"/>
            <w:r w:rsidRPr="0001739F">
              <w:rPr>
                <w:rFonts w:eastAsia="Times New Roman" w:cstheme="minorHAnsi"/>
                <w:sz w:val="16"/>
                <w:szCs w:val="16"/>
              </w:rPr>
              <w:t>Critical_Infrastructure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Pr>
                <w:rFonts w:eastAsia="Times New Roman" w:cstheme="minorHAnsi"/>
                <w:color w:val="000000"/>
                <w:sz w:val="16"/>
                <w:szCs w:val="16"/>
              </w:rPr>
              <w:t>Essential Facilities</w:t>
            </w:r>
            <w:r w:rsidRPr="000166EC">
              <w:rPr>
                <w:rFonts w:eastAsia="Times New Roman" w:cstheme="minorHAnsi"/>
                <w:color w:val="000000"/>
                <w:sz w:val="16"/>
                <w:szCs w:val="16"/>
              </w:rPr>
              <w:t> </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Governmental_Building</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Governmental Building (F, S, L)</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Historical_Structure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Historical Structure (Yes or No)</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Federal_Land</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Federal Land (FED)</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Comments</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General Comments</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Moved point to flood zone and updated parcel ID / building appraisal</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Data_Issue_1</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 Issue Flag 1</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Data_Issue_2</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Data Issue Flag 2</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 </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Timestamp</w:t>
            </w:r>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Time Stamps</w:t>
            </w:r>
          </w:p>
        </w:tc>
        <w:tc>
          <w:tcPr>
            <w:tcW w:w="1190" w:type="dxa"/>
            <w:tcBorders>
              <w:top w:val="nil"/>
              <w:left w:val="nil"/>
              <w:bottom w:val="single" w:sz="4" w:space="0" w:color="auto"/>
              <w:right w:val="single" w:sz="4" w:space="0" w:color="auto"/>
            </w:tcBorders>
            <w:shd w:val="clear" w:color="000000" w:fill="E4DFEC"/>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Other</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02/03/2020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Average_Household_Size</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Census Average Household Size</w:t>
            </w:r>
          </w:p>
        </w:tc>
        <w:tc>
          <w:tcPr>
            <w:tcW w:w="1190" w:type="dxa"/>
            <w:tcBorders>
              <w:top w:val="nil"/>
              <w:left w:val="nil"/>
              <w:bottom w:val="single" w:sz="4" w:space="0" w:color="auto"/>
              <w:right w:val="single" w:sz="4" w:space="0" w:color="auto"/>
            </w:tcBorders>
            <w:shd w:val="clear" w:color="000000" w:fill="EBF1DE"/>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Displacement</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2.6</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Residential_Units_FLD</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Number of Residential Units</w:t>
            </w:r>
          </w:p>
        </w:tc>
        <w:tc>
          <w:tcPr>
            <w:tcW w:w="1190" w:type="dxa"/>
            <w:tcBorders>
              <w:top w:val="nil"/>
              <w:left w:val="nil"/>
              <w:bottom w:val="single" w:sz="4" w:space="0" w:color="auto"/>
              <w:right w:val="single" w:sz="4" w:space="0" w:color="auto"/>
            </w:tcBorders>
            <w:shd w:val="clear" w:color="000000" w:fill="EBF1DE"/>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Displacement</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w:t>
            </w:r>
          </w:p>
        </w:tc>
      </w:tr>
      <w:tr w:rsidR="007C321B" w:rsidRPr="000166EC" w:rsidTr="007C321B">
        <w:trPr>
          <w:trHeight w:val="300"/>
        </w:trPr>
        <w:tc>
          <w:tcPr>
            <w:tcW w:w="2281" w:type="dxa"/>
            <w:tcBorders>
              <w:top w:val="nil"/>
              <w:left w:val="single" w:sz="4" w:space="0" w:color="auto"/>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proofErr w:type="spellStart"/>
            <w:r w:rsidRPr="000166EC">
              <w:rPr>
                <w:rFonts w:eastAsia="Times New Roman" w:cstheme="minorHAnsi"/>
                <w:color w:val="000000"/>
                <w:sz w:val="16"/>
                <w:szCs w:val="16"/>
              </w:rPr>
              <w:t>Displaced_Population_FLD_BLD</w:t>
            </w:r>
            <w:proofErr w:type="spellEnd"/>
          </w:p>
        </w:tc>
        <w:tc>
          <w:tcPr>
            <w:tcW w:w="2124" w:type="dxa"/>
            <w:tcBorders>
              <w:top w:val="nil"/>
              <w:left w:val="nil"/>
              <w:bottom w:val="single" w:sz="4" w:space="0" w:color="auto"/>
              <w:right w:val="single" w:sz="4" w:space="0" w:color="auto"/>
            </w:tcBorders>
            <w:shd w:val="clear" w:color="auto" w:fill="auto"/>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Displaced Per Building</w:t>
            </w:r>
          </w:p>
        </w:tc>
        <w:tc>
          <w:tcPr>
            <w:tcW w:w="1190" w:type="dxa"/>
            <w:tcBorders>
              <w:top w:val="nil"/>
              <w:left w:val="nil"/>
              <w:bottom w:val="single" w:sz="4" w:space="0" w:color="auto"/>
              <w:right w:val="single" w:sz="4" w:space="0" w:color="auto"/>
            </w:tcBorders>
            <w:shd w:val="clear" w:color="000000" w:fill="EBF1DE"/>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Population Displacement</w:t>
            </w:r>
          </w:p>
        </w:tc>
        <w:tc>
          <w:tcPr>
            <w:tcW w:w="4800" w:type="dxa"/>
            <w:tcBorders>
              <w:top w:val="nil"/>
              <w:left w:val="nil"/>
              <w:bottom w:val="single" w:sz="4" w:space="0" w:color="auto"/>
              <w:right w:val="single" w:sz="4" w:space="0" w:color="auto"/>
            </w:tcBorders>
            <w:shd w:val="clear" w:color="auto" w:fill="auto"/>
            <w:noWrap/>
            <w:vAlign w:val="center"/>
            <w:hideMark/>
          </w:tcPr>
          <w:p w:rsidR="007C321B" w:rsidRPr="000166EC" w:rsidRDefault="007C321B" w:rsidP="007C321B">
            <w:pPr>
              <w:spacing w:after="0" w:line="240" w:lineRule="auto"/>
              <w:rPr>
                <w:rFonts w:eastAsia="Times New Roman" w:cstheme="minorHAnsi"/>
                <w:color w:val="000000"/>
                <w:sz w:val="16"/>
                <w:szCs w:val="16"/>
              </w:rPr>
            </w:pPr>
            <w:r w:rsidRPr="000166EC">
              <w:rPr>
                <w:rFonts w:eastAsia="Times New Roman" w:cstheme="minorHAnsi"/>
                <w:color w:val="000000"/>
                <w:sz w:val="16"/>
                <w:szCs w:val="16"/>
              </w:rPr>
              <w:t>0</w:t>
            </w:r>
          </w:p>
        </w:tc>
      </w:tr>
    </w:tbl>
    <w:p w:rsidR="007C321B" w:rsidRDefault="007C321B" w:rsidP="007C321B">
      <w:pPr>
        <w:rPr>
          <w:rFonts w:ascii="Calibri" w:eastAsia="Times New Roman" w:hAnsi="Calibri" w:cs="Calibri"/>
          <w:b/>
          <w:color w:val="000000"/>
          <w:szCs w:val="20"/>
        </w:rPr>
      </w:pPr>
      <w:r>
        <w:rPr>
          <w:rFonts w:ascii="Calibri" w:eastAsia="Times New Roman" w:hAnsi="Calibri" w:cs="Calibri"/>
          <w:b/>
          <w:color w:val="000000"/>
          <w:szCs w:val="20"/>
        </w:rPr>
        <w:br w:type="page"/>
      </w:r>
    </w:p>
    <w:p w:rsidR="007C321B" w:rsidRPr="006D32F0" w:rsidRDefault="007C321B" w:rsidP="00655B64">
      <w:pPr>
        <w:pStyle w:val="TableFigure"/>
        <w:spacing w:after="0"/>
      </w:pPr>
      <w:bookmarkStart w:id="61" w:name="_Toc34317969"/>
      <w:bookmarkStart w:id="62" w:name="_Toc34388247"/>
      <w:r w:rsidRPr="006D32F0">
        <w:lastRenderedPageBreak/>
        <w:t>Table 1</w:t>
      </w:r>
      <w:r w:rsidR="0084432D">
        <w:t>5</w:t>
      </w:r>
      <w:r w:rsidRPr="006D32F0">
        <w:t>.  Hazus FAST Inputs.  Building Input FAST (BIF) Attributes</w:t>
      </w:r>
      <w:bookmarkEnd w:id="61"/>
      <w:bookmarkEnd w:id="62"/>
    </w:p>
    <w:tbl>
      <w:tblPr>
        <w:tblW w:w="9625" w:type="dxa"/>
        <w:tblLook w:val="04A0" w:firstRow="1" w:lastRow="0" w:firstColumn="1" w:lastColumn="0" w:noHBand="0" w:noVBand="1"/>
      </w:tblPr>
      <w:tblGrid>
        <w:gridCol w:w="1702"/>
        <w:gridCol w:w="812"/>
        <w:gridCol w:w="1465"/>
        <w:gridCol w:w="5646"/>
      </w:tblGrid>
      <w:tr w:rsidR="007C321B" w:rsidRPr="00E03BDE" w:rsidTr="007C321B">
        <w:trPr>
          <w:trHeight w:val="480"/>
        </w:trPr>
        <w:tc>
          <w:tcPr>
            <w:tcW w:w="1702" w:type="dxa"/>
            <w:tcBorders>
              <w:top w:val="single" w:sz="4" w:space="0" w:color="auto"/>
              <w:left w:val="single" w:sz="4" w:space="0" w:color="auto"/>
              <w:bottom w:val="single" w:sz="4" w:space="0" w:color="auto"/>
              <w:right w:val="single" w:sz="4" w:space="0" w:color="auto"/>
            </w:tcBorders>
            <w:shd w:val="clear" w:color="000000" w:fill="F2F2F2"/>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Input Attribute</w:t>
            </w:r>
          </w:p>
        </w:tc>
        <w:tc>
          <w:tcPr>
            <w:tcW w:w="812" w:type="dxa"/>
            <w:tcBorders>
              <w:top w:val="single" w:sz="4" w:space="0" w:color="auto"/>
              <w:left w:val="nil"/>
              <w:bottom w:val="single" w:sz="4" w:space="0" w:color="auto"/>
              <w:right w:val="single" w:sz="4" w:space="0" w:color="auto"/>
            </w:tcBorders>
            <w:shd w:val="clear" w:color="000000" w:fill="F2F2F2"/>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Data Type</w:t>
            </w:r>
          </w:p>
        </w:tc>
        <w:tc>
          <w:tcPr>
            <w:tcW w:w="1465" w:type="dxa"/>
            <w:tcBorders>
              <w:top w:val="single" w:sz="4" w:space="0" w:color="auto"/>
              <w:left w:val="nil"/>
              <w:bottom w:val="single" w:sz="4" w:space="0" w:color="auto"/>
              <w:right w:val="single" w:sz="4" w:space="0" w:color="auto"/>
            </w:tcBorders>
            <w:shd w:val="clear" w:color="000000" w:fill="F2F2F2"/>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Range or Length</w:t>
            </w:r>
          </w:p>
        </w:tc>
        <w:tc>
          <w:tcPr>
            <w:tcW w:w="5646" w:type="dxa"/>
            <w:tcBorders>
              <w:top w:val="single" w:sz="4" w:space="0" w:color="auto"/>
              <w:left w:val="nil"/>
              <w:bottom w:val="single" w:sz="4" w:space="0" w:color="auto"/>
              <w:right w:val="single" w:sz="4" w:space="0" w:color="auto"/>
            </w:tcBorders>
            <w:shd w:val="clear" w:color="000000" w:fill="F2F2F2"/>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Notes</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proofErr w:type="spellStart"/>
            <w:r w:rsidRPr="00E03BDE">
              <w:rPr>
                <w:rFonts w:eastAsia="Times New Roman" w:cstheme="minorHAnsi"/>
                <w:color w:val="000000"/>
                <w:sz w:val="18"/>
                <w:szCs w:val="18"/>
              </w:rPr>
              <w:t>UserDefinedFltyId</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Unique FAST identifier</w:t>
            </w:r>
          </w:p>
        </w:tc>
      </w:tr>
      <w:tr w:rsidR="007C321B" w:rsidRPr="00E03BDE" w:rsidTr="007C321B">
        <w:trPr>
          <w:trHeight w:val="48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OccupancyClass</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5</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One of 33 Hazus-defined types, e.g., {RES1, RES2, COM3, IND4, AGR1, GOV2, REL1}. Script will skip row if not specified, or if an unrecognized value is provided.</w:t>
            </w:r>
          </w:p>
        </w:tc>
      </w:tr>
      <w:tr w:rsidR="007C321B" w:rsidRPr="00E03BDE" w:rsidTr="007C321B">
        <w:trPr>
          <w:trHeight w:val="72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Cost</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Replacement Cost of Structure, in U.S. dollars. Records D51with '0' cost: the script will accept a zero value, but any estimated dollar damage to the structure will be 0. Consider correcting the UDF record or deleting it.</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NumStories</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Short</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1</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Number of Stories. Must be an integer.</w:t>
            </w:r>
          </w:p>
        </w:tc>
      </w:tr>
      <w:tr w:rsidR="007C321B" w:rsidRPr="00E03BDE" w:rsidTr="007C321B">
        <w:trPr>
          <w:trHeight w:val="48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FoundationType</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{1,2,3,4,5,6,7}</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Foundation Type of the building. Text type, per Hazus-MH Flood Model convention. Must be an integer from 1 to 7, inclusively.</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FirstFloorHt</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0.0</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First Floor Height, in feet. Height can be specified in fractional feet.</w:t>
            </w:r>
          </w:p>
        </w:tc>
      </w:tr>
      <w:tr w:rsidR="007C321B" w:rsidRPr="00E03BDE" w:rsidTr="007C321B">
        <w:trPr>
          <w:trHeight w:val="48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Area</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Total Area for the structure, in square feet. Used for Inventory Loss calculation when Inventory Cost is not supplied. Used for debris estimates. Must be greater than 0.</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Latitude</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Latitude decimal degrees</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Longitude</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Longitude decimal degrees</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Input Attribute</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Data Type</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Range or Length</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Notes</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UserDefinedFltyId</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Unique FAST identifier</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OccupancyClass</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5</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One of 33 Hazus-defined types, e.g., {RES1, RES2, COM3, IND4, AGR1, GOV2, REL1}. Script will skip row if not specified, or if an unrecognized value is provided.</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Cost</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Replacement Cost of Structure, in U.S. dollars. Records D51with '0' cost: the script will accept a zero value, but any estimated dollar damage to the structure will be 0. Consider correcting the UDF record or deleting it.</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NumStories</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Short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1</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Number of Stories. Must be an integer.</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FoundationType</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Text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{1,2,3,4,5,6,7}</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Foundation Type of the building. Text type, per Hazus-MH Flood Model convention. Must be an integer from 1 to 7, inclusively.</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proofErr w:type="spellStart"/>
            <w:r w:rsidRPr="00E03BDE">
              <w:rPr>
                <w:rFonts w:eastAsia="Times New Roman" w:cstheme="minorHAnsi"/>
                <w:b/>
                <w:bCs/>
                <w:color w:val="000000"/>
                <w:sz w:val="18"/>
                <w:szCs w:val="18"/>
              </w:rPr>
              <w:t>FirstFloorHt</w:t>
            </w:r>
            <w:proofErr w:type="spellEnd"/>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0.0</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First Floor Height, in feet. Height can be specified in fractional feet.</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Area</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&gt; 0</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Total Area for the structure, in square feet. Used for Inventory Loss calculation when Inventory Cost is not supplied. Used for debris estimates. Must be greater than 0.</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Latitude</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Latitude decimal degrees</w:t>
            </w:r>
          </w:p>
        </w:tc>
      </w:tr>
      <w:tr w:rsidR="007C321B" w:rsidRPr="00E03BDE" w:rsidTr="007C321B">
        <w:trPr>
          <w:trHeight w:val="300"/>
        </w:trPr>
        <w:tc>
          <w:tcPr>
            <w:tcW w:w="1702" w:type="dxa"/>
            <w:tcBorders>
              <w:top w:val="nil"/>
              <w:left w:val="single" w:sz="4" w:space="0" w:color="auto"/>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b/>
                <w:bCs/>
                <w:color w:val="000000"/>
                <w:sz w:val="18"/>
                <w:szCs w:val="18"/>
              </w:rPr>
            </w:pPr>
            <w:r w:rsidRPr="00E03BDE">
              <w:rPr>
                <w:rFonts w:eastAsia="Times New Roman" w:cstheme="minorHAnsi"/>
                <w:b/>
                <w:bCs/>
                <w:color w:val="000000"/>
                <w:sz w:val="18"/>
                <w:szCs w:val="18"/>
              </w:rPr>
              <w:t>Longitude</w:t>
            </w:r>
          </w:p>
        </w:tc>
        <w:tc>
          <w:tcPr>
            <w:tcW w:w="812"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Float</w:t>
            </w:r>
          </w:p>
        </w:tc>
        <w:tc>
          <w:tcPr>
            <w:tcW w:w="1465" w:type="dxa"/>
            <w:tcBorders>
              <w:top w:val="nil"/>
              <w:left w:val="nil"/>
              <w:bottom w:val="single" w:sz="4" w:space="0" w:color="auto"/>
              <w:right w:val="single" w:sz="4" w:space="0" w:color="auto"/>
            </w:tcBorders>
            <w:shd w:val="clear" w:color="auto" w:fill="auto"/>
            <w:noWrap/>
            <w:vAlign w:val="bottom"/>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 </w:t>
            </w:r>
          </w:p>
        </w:tc>
        <w:tc>
          <w:tcPr>
            <w:tcW w:w="5646" w:type="dxa"/>
            <w:tcBorders>
              <w:top w:val="nil"/>
              <w:left w:val="nil"/>
              <w:bottom w:val="single" w:sz="4" w:space="0" w:color="auto"/>
              <w:right w:val="single" w:sz="4" w:space="0" w:color="auto"/>
            </w:tcBorders>
            <w:shd w:val="clear" w:color="auto" w:fill="auto"/>
            <w:hideMark/>
          </w:tcPr>
          <w:p w:rsidR="007C321B" w:rsidRPr="00E03BDE" w:rsidRDefault="007C321B" w:rsidP="007C321B">
            <w:pPr>
              <w:spacing w:after="0" w:line="240" w:lineRule="auto"/>
              <w:rPr>
                <w:rFonts w:eastAsia="Times New Roman" w:cstheme="minorHAnsi"/>
                <w:color w:val="000000"/>
                <w:sz w:val="18"/>
                <w:szCs w:val="18"/>
              </w:rPr>
            </w:pPr>
            <w:r w:rsidRPr="00E03BDE">
              <w:rPr>
                <w:rFonts w:eastAsia="Times New Roman" w:cstheme="minorHAnsi"/>
                <w:color w:val="000000"/>
                <w:sz w:val="18"/>
                <w:szCs w:val="18"/>
              </w:rPr>
              <w:t>Longitude decimal degrees</w:t>
            </w:r>
          </w:p>
        </w:tc>
      </w:tr>
    </w:tbl>
    <w:p w:rsidR="007C321B" w:rsidRDefault="007C321B" w:rsidP="007C321B">
      <w:pPr>
        <w:tabs>
          <w:tab w:val="left" w:pos="9630"/>
        </w:tabs>
      </w:pPr>
    </w:p>
    <w:p w:rsidR="007C321B" w:rsidRDefault="007C321B" w:rsidP="007C321B">
      <w:r>
        <w:br w:type="page"/>
      </w:r>
    </w:p>
    <w:p w:rsidR="007C321B" w:rsidRPr="006D32F0" w:rsidRDefault="007C321B" w:rsidP="00655B64">
      <w:pPr>
        <w:pStyle w:val="TableFigure"/>
        <w:spacing w:after="0"/>
      </w:pPr>
      <w:bookmarkStart w:id="63" w:name="_Toc34317970"/>
      <w:bookmarkStart w:id="64" w:name="_Toc34388248"/>
      <w:r w:rsidRPr="006D32F0">
        <w:lastRenderedPageBreak/>
        <w:t>Table 1</w:t>
      </w:r>
      <w:r w:rsidR="0084432D">
        <w:t>6</w:t>
      </w:r>
      <w:r w:rsidRPr="006D32F0">
        <w:t>.  Hazus FAST Outputs. Building FAST Outputs (BOF)</w:t>
      </w:r>
      <w:bookmarkEnd w:id="63"/>
      <w:bookmarkEnd w:id="64"/>
    </w:p>
    <w:tbl>
      <w:tblPr>
        <w:tblW w:w="9720" w:type="dxa"/>
        <w:tblInd w:w="-5" w:type="dxa"/>
        <w:tblLook w:val="04A0" w:firstRow="1" w:lastRow="0" w:firstColumn="1" w:lastColumn="0" w:noHBand="0" w:noVBand="1"/>
      </w:tblPr>
      <w:tblGrid>
        <w:gridCol w:w="1574"/>
        <w:gridCol w:w="810"/>
        <w:gridCol w:w="810"/>
        <w:gridCol w:w="6526"/>
      </w:tblGrid>
      <w:tr w:rsidR="007C321B" w:rsidRPr="005F3499" w:rsidTr="007C321B">
        <w:trPr>
          <w:trHeight w:val="495"/>
          <w:tblHeader/>
        </w:trPr>
        <w:tc>
          <w:tcPr>
            <w:tcW w:w="157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Output Attribute</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Data Type</w:t>
            </w:r>
          </w:p>
        </w:tc>
        <w:tc>
          <w:tcPr>
            <w:tcW w:w="810" w:type="dxa"/>
            <w:tcBorders>
              <w:top w:val="single" w:sz="4" w:space="0" w:color="auto"/>
              <w:left w:val="nil"/>
              <w:bottom w:val="single" w:sz="4" w:space="0" w:color="auto"/>
              <w:right w:val="single" w:sz="4" w:space="0" w:color="auto"/>
            </w:tcBorders>
            <w:shd w:val="clear" w:color="000000" w:fill="F2F2F2"/>
            <w:vAlign w:val="bottom"/>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Range or Length</w:t>
            </w:r>
          </w:p>
        </w:tc>
        <w:tc>
          <w:tcPr>
            <w:tcW w:w="6526" w:type="dxa"/>
            <w:tcBorders>
              <w:top w:val="single" w:sz="4" w:space="0" w:color="auto"/>
              <w:left w:val="nil"/>
              <w:bottom w:val="single" w:sz="4" w:space="0" w:color="auto"/>
              <w:right w:val="single" w:sz="4" w:space="0" w:color="auto"/>
            </w:tcBorders>
            <w:shd w:val="clear" w:color="000000" w:fill="F2F2F2"/>
            <w:vAlign w:val="bottom"/>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Notes</w:t>
            </w:r>
          </w:p>
        </w:tc>
      </w:tr>
      <w:tr w:rsidR="007C321B" w:rsidRPr="005F3499"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Depth_Grid</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Flood Depth Grid, in feet.</w:t>
            </w:r>
          </w:p>
        </w:tc>
      </w:tr>
      <w:tr w:rsidR="007C321B" w:rsidRPr="005F3499"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Depth_in_Struc</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Depth-in-Structure Adjusted flood depth grid at the UDF point, in feet. Simple calculation: If the </w:t>
            </w:r>
            <w:proofErr w:type="spellStart"/>
            <w:r w:rsidRPr="005F3499">
              <w:rPr>
                <w:rFonts w:ascii="Calibri" w:eastAsia="Times New Roman" w:hAnsi="Calibri" w:cs="Calibri"/>
                <w:color w:val="000000"/>
                <w:sz w:val="18"/>
                <w:szCs w:val="18"/>
              </w:rPr>
              <w:t>Depth_Grid</w:t>
            </w:r>
            <w:proofErr w:type="spellEnd"/>
            <w:r w:rsidRPr="005F3499">
              <w:rPr>
                <w:rFonts w:ascii="Calibri" w:eastAsia="Times New Roman" w:hAnsi="Calibri" w:cs="Calibri"/>
                <w:color w:val="000000"/>
                <w:sz w:val="18"/>
                <w:szCs w:val="18"/>
              </w:rPr>
              <w:t xml:space="preserve"> is a </w:t>
            </w:r>
            <w:proofErr w:type="spellStart"/>
            <w:r w:rsidRPr="005F3499">
              <w:rPr>
                <w:rFonts w:ascii="Calibri" w:eastAsia="Times New Roman" w:hAnsi="Calibri" w:cs="Calibri"/>
                <w:color w:val="000000"/>
                <w:sz w:val="18"/>
                <w:szCs w:val="18"/>
              </w:rPr>
              <w:t>NoData</w:t>
            </w:r>
            <w:proofErr w:type="spellEnd"/>
            <w:r w:rsidRPr="005F3499">
              <w:rPr>
                <w:rFonts w:ascii="Calibri" w:eastAsia="Times New Roman" w:hAnsi="Calibri" w:cs="Calibri"/>
                <w:color w:val="000000"/>
                <w:sz w:val="18"/>
                <w:szCs w:val="18"/>
              </w:rPr>
              <w:t xml:space="preserve"> or -9999 value, value is -9999. Else value is </w:t>
            </w:r>
            <w:proofErr w:type="spellStart"/>
            <w:r w:rsidRPr="005F3499">
              <w:rPr>
                <w:rFonts w:ascii="Calibri" w:eastAsia="Times New Roman" w:hAnsi="Calibri" w:cs="Calibri"/>
                <w:color w:val="000000"/>
                <w:sz w:val="18"/>
                <w:szCs w:val="18"/>
              </w:rPr>
              <w:t>Depth_Grid</w:t>
            </w:r>
            <w:proofErr w:type="spellEnd"/>
            <w:r w:rsidRPr="005F3499">
              <w:rPr>
                <w:rFonts w:ascii="Calibri" w:eastAsia="Times New Roman" w:hAnsi="Calibri" w:cs="Calibri"/>
                <w:color w:val="000000"/>
                <w:sz w:val="18"/>
                <w:szCs w:val="18"/>
              </w:rPr>
              <w:t xml:space="preserve"> − </w:t>
            </w:r>
            <w:proofErr w:type="spellStart"/>
            <w:r w:rsidRPr="005F3499">
              <w:rPr>
                <w:rFonts w:ascii="Calibri" w:eastAsia="Times New Roman" w:hAnsi="Calibri" w:cs="Calibri"/>
                <w:color w:val="000000"/>
                <w:sz w:val="18"/>
                <w:szCs w:val="18"/>
              </w:rPr>
              <w:t>FirstFloorHt</w:t>
            </w:r>
            <w:proofErr w:type="spellEnd"/>
          </w:p>
        </w:tc>
      </w:tr>
      <w:tr w:rsidR="007C321B" w:rsidRPr="005F3499"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proofErr w:type="spellStart"/>
            <w:r w:rsidRPr="005F3499">
              <w:rPr>
                <w:rFonts w:ascii="Calibri" w:eastAsia="Times New Roman" w:hAnsi="Calibri" w:cs="Calibri"/>
                <w:color w:val="000000"/>
                <w:sz w:val="18"/>
                <w:szCs w:val="18"/>
              </w:rPr>
              <w:t>flExp</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Short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{0,1}</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UDF is exposed to a flood. Simply 0 or 1. If the UDF is in a flood depth grid, then the value is 1, regardless of depth-in-structure.</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SOID</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5</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Specific Occupancy ID. The Hazus-MH Flood shorthand that compresses </w:t>
            </w:r>
            <w:proofErr w:type="spellStart"/>
            <w:r w:rsidRPr="005F3499">
              <w:rPr>
                <w:rFonts w:ascii="Calibri" w:eastAsia="Times New Roman" w:hAnsi="Calibri" w:cs="Calibri"/>
                <w:color w:val="000000"/>
                <w:sz w:val="18"/>
                <w:szCs w:val="18"/>
              </w:rPr>
              <w:t>OccupancyClass</w:t>
            </w:r>
            <w:proofErr w:type="spellEnd"/>
            <w:r w:rsidRPr="005F3499">
              <w:rPr>
                <w:rFonts w:ascii="Calibri" w:eastAsia="Times New Roman" w:hAnsi="Calibri" w:cs="Calibri"/>
                <w:color w:val="000000"/>
                <w:sz w:val="18"/>
                <w:szCs w:val="18"/>
              </w:rPr>
              <w:t xml:space="preserve">, </w:t>
            </w:r>
            <w:proofErr w:type="spellStart"/>
            <w:r w:rsidRPr="005F3499">
              <w:rPr>
                <w:rFonts w:ascii="Calibri" w:eastAsia="Times New Roman" w:hAnsi="Calibri" w:cs="Calibri"/>
                <w:color w:val="000000"/>
                <w:sz w:val="18"/>
                <w:szCs w:val="18"/>
              </w:rPr>
              <w:t>NumStories</w:t>
            </w:r>
            <w:proofErr w:type="spellEnd"/>
            <w:r w:rsidRPr="005F3499">
              <w:rPr>
                <w:rFonts w:ascii="Calibri" w:eastAsia="Times New Roman" w:hAnsi="Calibri" w:cs="Calibri"/>
                <w:color w:val="000000"/>
                <w:sz w:val="18"/>
                <w:szCs w:val="18"/>
              </w:rPr>
              <w:t xml:space="preserve">, and </w:t>
            </w:r>
            <w:proofErr w:type="spellStart"/>
            <w:r w:rsidRPr="005F3499">
              <w:rPr>
                <w:rFonts w:ascii="Calibri" w:eastAsia="Times New Roman" w:hAnsi="Calibri" w:cs="Calibri"/>
                <w:color w:val="000000"/>
                <w:sz w:val="18"/>
                <w:szCs w:val="18"/>
              </w:rPr>
              <w:t>FoundationType</w:t>
            </w:r>
            <w:proofErr w:type="spellEnd"/>
            <w:r w:rsidRPr="005F3499">
              <w:rPr>
                <w:rFonts w:ascii="Calibri" w:eastAsia="Times New Roman" w:hAnsi="Calibri" w:cs="Calibri"/>
                <w:color w:val="000000"/>
                <w:sz w:val="18"/>
                <w:szCs w:val="18"/>
              </w:rPr>
              <w:t xml:space="preserve"> into a concise 4- to 5-character code, e.g. R11N for a RES1, no basement, single story. Used to access the look-up tables where the user does not specify a DDF. XXXX for buildings not in the flood zone.</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BDDF_ID</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3</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Depth Damage Function (DDF):  If not provided by the user, defaults will be assigned based on Hazus methodology by computing Specific Occupancy ID based on Occupancy Type, Foundation Type, num stories and flood type. If populated by user, the script will check to ensure that only valid DDFs are used.</w:t>
            </w:r>
          </w:p>
        </w:tc>
      </w:tr>
      <w:tr w:rsidR="007C321B" w:rsidRPr="005F3499"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BldgDmgPct</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 – 100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Damage Percentage. Interpolated from the lookup tables, depending on flood depth. Value ranges between 0 and 100. For UDFs outside the flood zone, the value is set to 0.0.</w:t>
            </w:r>
          </w:p>
        </w:tc>
      </w:tr>
      <w:tr w:rsidR="007C321B" w:rsidRPr="005F3499"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BldgLossUSD</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Loss, in US dollars, to the building. Formula: Cost × </w:t>
            </w:r>
            <w:proofErr w:type="spellStart"/>
            <w:r w:rsidRPr="005F3499">
              <w:rPr>
                <w:rFonts w:ascii="Calibri" w:eastAsia="Times New Roman" w:hAnsi="Calibri" w:cs="Calibri"/>
                <w:color w:val="000000"/>
                <w:sz w:val="18"/>
                <w:szCs w:val="18"/>
              </w:rPr>
              <w:t>BldgDmgPct</w:t>
            </w:r>
            <w:proofErr w:type="spellEnd"/>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ContentCostUSD</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Content Cost:  Building Content Cost, in US dollars. If user supplied a </w:t>
            </w:r>
            <w:proofErr w:type="spellStart"/>
            <w:r w:rsidRPr="005F3499">
              <w:rPr>
                <w:rFonts w:ascii="Calibri" w:eastAsia="Times New Roman" w:hAnsi="Calibri" w:cs="Calibri"/>
                <w:color w:val="000000"/>
                <w:sz w:val="18"/>
                <w:szCs w:val="18"/>
              </w:rPr>
              <w:t>ContentCost</w:t>
            </w:r>
            <w:proofErr w:type="spellEnd"/>
            <w:r w:rsidRPr="005F3499">
              <w:rPr>
                <w:rFonts w:ascii="Calibri" w:eastAsia="Times New Roman" w:hAnsi="Calibri" w:cs="Calibri"/>
                <w:color w:val="000000"/>
                <w:sz w:val="18"/>
                <w:szCs w:val="18"/>
              </w:rPr>
              <w:t xml:space="preserve"> attribute, and the record’s value is non-null, the value is </w:t>
            </w:r>
            <w:proofErr w:type="spellStart"/>
            <w:r w:rsidRPr="005F3499">
              <w:rPr>
                <w:rFonts w:ascii="Calibri" w:eastAsia="Times New Roman" w:hAnsi="Calibri" w:cs="Calibri"/>
                <w:color w:val="000000"/>
                <w:sz w:val="18"/>
                <w:szCs w:val="18"/>
              </w:rPr>
              <w:t>ContentCost</w:t>
            </w:r>
            <w:proofErr w:type="spellEnd"/>
            <w:r w:rsidRPr="005F3499">
              <w:rPr>
                <w:rFonts w:ascii="Calibri" w:eastAsia="Times New Roman" w:hAnsi="Calibri" w:cs="Calibri"/>
                <w:color w:val="000000"/>
                <w:sz w:val="18"/>
                <w:szCs w:val="18"/>
              </w:rPr>
              <w:t xml:space="preserve">. Otherwise, depending on </w:t>
            </w:r>
            <w:proofErr w:type="spellStart"/>
            <w:r w:rsidRPr="005F3499">
              <w:rPr>
                <w:rFonts w:ascii="Calibri" w:eastAsia="Times New Roman" w:hAnsi="Calibri" w:cs="Calibri"/>
                <w:color w:val="000000"/>
                <w:sz w:val="18"/>
                <w:szCs w:val="18"/>
              </w:rPr>
              <w:t>OccupancyClass</w:t>
            </w:r>
            <w:proofErr w:type="spellEnd"/>
            <w:r w:rsidRPr="005F3499">
              <w:rPr>
                <w:rFonts w:ascii="Calibri" w:eastAsia="Times New Roman" w:hAnsi="Calibri" w:cs="Calibri"/>
                <w:color w:val="000000"/>
                <w:sz w:val="18"/>
                <w:szCs w:val="18"/>
              </w:rPr>
              <w:t>, it is calculated at 0.5, 1.0, or 1.5 times the user-supplied building Cost. See Hazus-MH Flood Technical Manual (FEMA, 2011).</w:t>
            </w:r>
          </w:p>
        </w:tc>
      </w:tr>
      <w:tr w:rsidR="007C321B" w:rsidRPr="005F3499" w:rsidTr="007C321B">
        <w:trPr>
          <w:trHeight w:val="518"/>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CDDF_ID</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3</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Content Depth Damage Function ID. If not provided by the user, defaults will be assigned based on Hazus methodology by computing Specific Occupancy ID based on Occupancy Type, Foundation</w:t>
            </w:r>
            <w:r w:rsidRPr="005F3499">
              <w:rPr>
                <w:rFonts w:ascii="Calibri" w:eastAsia="Times New Roman" w:hAnsi="Calibri" w:cs="Calibri"/>
                <w:color w:val="000000"/>
                <w:sz w:val="18"/>
                <w:szCs w:val="18"/>
              </w:rPr>
              <w:br/>
              <w:t>Type, num stories and flood type. If populated by user, the script will check to ensure that only valid DDFs are used.</w:t>
            </w:r>
          </w:p>
        </w:tc>
      </w:tr>
      <w:tr w:rsidR="007C321B" w:rsidRPr="005F3499" w:rsidTr="007C321B">
        <w:trPr>
          <w:trHeight w:val="252"/>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ContDmgPct</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 – 100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Building Content Damage Percentage. Interpolated from the lookup tables, depending on flood depth. Value ranges between 0 and 100. For UDFs outside the flood zone, the value is set to 0.0.</w:t>
            </w:r>
          </w:p>
        </w:tc>
      </w:tr>
      <w:tr w:rsidR="007C321B" w:rsidRPr="005F3499"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ContentLossUSD</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Loss, in US dollars, to the Building Content. Formula: </w:t>
            </w:r>
            <w:proofErr w:type="spellStart"/>
            <w:r w:rsidRPr="005F3499">
              <w:rPr>
                <w:rFonts w:ascii="Calibri" w:eastAsia="Times New Roman" w:hAnsi="Calibri" w:cs="Calibri"/>
                <w:color w:val="000000"/>
                <w:sz w:val="18"/>
                <w:szCs w:val="18"/>
              </w:rPr>
              <w:t>ContDmgPct</w:t>
            </w:r>
            <w:proofErr w:type="spellEnd"/>
            <w:r w:rsidRPr="005F3499">
              <w:rPr>
                <w:rFonts w:ascii="Calibri" w:eastAsia="Times New Roman" w:hAnsi="Calibri" w:cs="Calibri"/>
                <w:color w:val="000000"/>
                <w:sz w:val="18"/>
                <w:szCs w:val="18"/>
              </w:rPr>
              <w:t xml:space="preserve"> × </w:t>
            </w:r>
            <w:proofErr w:type="spellStart"/>
            <w:r w:rsidRPr="005F3499">
              <w:rPr>
                <w:rFonts w:ascii="Calibri" w:eastAsia="Times New Roman" w:hAnsi="Calibri" w:cs="Calibri"/>
                <w:color w:val="000000"/>
                <w:sz w:val="18"/>
                <w:szCs w:val="18"/>
              </w:rPr>
              <w:t>ContentCostUSD</w:t>
            </w:r>
            <w:proofErr w:type="spellEnd"/>
          </w:p>
        </w:tc>
      </w:tr>
      <w:tr w:rsidR="007C321B" w:rsidRPr="005F3499"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proofErr w:type="spellStart"/>
            <w:r w:rsidRPr="005F3499">
              <w:rPr>
                <w:rFonts w:ascii="Calibri" w:eastAsia="Times New Roman" w:hAnsi="Calibri" w:cs="Calibri"/>
                <w:color w:val="000000"/>
                <w:sz w:val="18"/>
                <w:szCs w:val="18"/>
              </w:rPr>
              <w:t>InventoryCostUSD</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Hazus estimates are provided based on Occupancy Class and Area unless provided by the user. Must be greater than or equal to 0.</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IDDF_ID</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3</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Inventory Depth Damage Function ID.  If not provided by the user, defaults will be assigned based on Hazus methodology by computing Specific Occupancy ID based on Occupancy Type, Foundation Type, num stories and flood type. If populated by user, the script will check to ensure that only valid DDFs are used.</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InvDmgPct</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Float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0 – 100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Building Inventory Damage Percentage. Interpolated from the lookup tables, depending on flood depth. Value ranges between 0 and 100. For UDFs outside the flood zone, the value is set to 0.0. Note that only certain types of </w:t>
            </w:r>
            <w:proofErr w:type="spellStart"/>
            <w:r w:rsidRPr="005F3499">
              <w:rPr>
                <w:rFonts w:ascii="Calibri" w:eastAsia="Times New Roman" w:hAnsi="Calibri" w:cs="Calibri"/>
                <w:color w:val="000000"/>
                <w:sz w:val="18"/>
                <w:szCs w:val="18"/>
              </w:rPr>
              <w:t>OccupancyClass</w:t>
            </w:r>
            <w:proofErr w:type="spellEnd"/>
            <w:r w:rsidRPr="005F3499">
              <w:rPr>
                <w:rFonts w:ascii="Calibri" w:eastAsia="Times New Roman" w:hAnsi="Calibri" w:cs="Calibri"/>
                <w:color w:val="000000"/>
                <w:sz w:val="18"/>
                <w:szCs w:val="18"/>
              </w:rPr>
              <w:t xml:space="preserve"> have a standard Inventory Loss function defined.</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InventoryLossUSD</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Loss, in US dollars, to the Inventory Content. If user supplied an inventory cost attribute, the value is </w:t>
            </w:r>
            <w:proofErr w:type="spellStart"/>
            <w:r w:rsidRPr="005F3499">
              <w:rPr>
                <w:rFonts w:ascii="Calibri" w:eastAsia="Times New Roman" w:hAnsi="Calibri" w:cs="Calibri"/>
                <w:color w:val="000000"/>
                <w:sz w:val="18"/>
                <w:szCs w:val="18"/>
              </w:rPr>
              <w:t>InvDmgPct</w:t>
            </w:r>
            <w:proofErr w:type="spellEnd"/>
            <w:r w:rsidRPr="005F3499">
              <w:rPr>
                <w:rFonts w:ascii="Calibri" w:eastAsia="Times New Roman" w:hAnsi="Calibri" w:cs="Calibri"/>
                <w:color w:val="000000"/>
                <w:sz w:val="18"/>
                <w:szCs w:val="18"/>
              </w:rPr>
              <w:t xml:space="preserve"> × </w:t>
            </w:r>
            <w:proofErr w:type="spellStart"/>
            <w:r w:rsidRPr="005F3499">
              <w:rPr>
                <w:rFonts w:ascii="Calibri" w:eastAsia="Times New Roman" w:hAnsi="Calibri" w:cs="Calibri"/>
                <w:color w:val="000000"/>
                <w:sz w:val="18"/>
                <w:szCs w:val="18"/>
              </w:rPr>
              <w:t>InventoryCostUSD</w:t>
            </w:r>
            <w:proofErr w:type="spellEnd"/>
            <w:r w:rsidRPr="005F3499">
              <w:rPr>
                <w:rFonts w:ascii="Calibri" w:eastAsia="Times New Roman" w:hAnsi="Calibri" w:cs="Calibri"/>
                <w:color w:val="000000"/>
                <w:sz w:val="18"/>
                <w:szCs w:val="18"/>
              </w:rPr>
              <w:t>. (Note the significant discrepancy between the computed values and Hazus 4.0 loss estimates. Hazus 4.0 does not correctly implement the Inventory Loss calculation at the UDF level.)</w:t>
            </w:r>
          </w:p>
        </w:tc>
      </w:tr>
      <w:tr w:rsidR="007C321B" w:rsidRPr="005F3499" w:rsidTr="007C321B">
        <w:trPr>
          <w:trHeight w:val="48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t>Debris_Tot</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Long</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Total debris, in tons. Combines Finish, Structure, and Foundation debris estimates. Based on Occupancy Class, Square Footage, Foundation Type, and Depth-in-Structure.</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proofErr w:type="spellStart"/>
            <w:r w:rsidRPr="005F3499">
              <w:rPr>
                <w:rFonts w:ascii="Calibri" w:eastAsia="Times New Roman" w:hAnsi="Calibri" w:cs="Calibri"/>
                <w:color w:val="000000"/>
                <w:sz w:val="18"/>
                <w:szCs w:val="18"/>
              </w:rPr>
              <w:t>Restor_Days_Min</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Short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xml:space="preserve">Restoration time, in days — Minimum bound. Note there is no direct Hazus equivalent. The name is identical to what is in the Hazus lookup table. Note that the </w:t>
            </w:r>
            <w:r w:rsidRPr="005F3499">
              <w:rPr>
                <w:rFonts w:ascii="Calibri" w:eastAsia="Times New Roman" w:hAnsi="Calibri" w:cs="Calibri"/>
                <w:color w:val="000000"/>
                <w:sz w:val="18"/>
                <w:szCs w:val="18"/>
              </w:rPr>
              <w:lastRenderedPageBreak/>
              <w:t>restoration times assume, like the debris, that a ‘substantially damaged’ structure (one which experiences &gt; 50% loss) is torn down and replaced.</w:t>
            </w:r>
          </w:p>
        </w:tc>
      </w:tr>
      <w:tr w:rsidR="007C321B" w:rsidRPr="005F3499" w:rsidTr="007C321B">
        <w:trPr>
          <w:trHeight w:val="72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b/>
                <w:bCs/>
                <w:color w:val="000000"/>
                <w:sz w:val="18"/>
                <w:szCs w:val="18"/>
              </w:rPr>
            </w:pPr>
            <w:proofErr w:type="spellStart"/>
            <w:r w:rsidRPr="005F3499">
              <w:rPr>
                <w:rFonts w:ascii="Calibri" w:eastAsia="Times New Roman" w:hAnsi="Calibri" w:cs="Calibri"/>
                <w:b/>
                <w:bCs/>
                <w:color w:val="000000"/>
                <w:sz w:val="18"/>
                <w:szCs w:val="18"/>
              </w:rPr>
              <w:lastRenderedPageBreak/>
              <w:t>Restor_Days_Max</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Short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 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Restoration time, in days — Maximum bound. Note there is no direct Hazus equivalent. The name is identical to what is in the Hazus lookup table. Note that the restoration times assume, like the debris, that a ‘substantially damaged’ structure (one which experiences &gt; 50% loss) is torn down and replaced.</w:t>
            </w:r>
          </w:p>
        </w:tc>
      </w:tr>
      <w:tr w:rsidR="007C321B" w:rsidRPr="005F3499" w:rsidTr="007C321B">
        <w:trPr>
          <w:trHeight w:val="300"/>
        </w:trPr>
        <w:tc>
          <w:tcPr>
            <w:tcW w:w="1574" w:type="dxa"/>
            <w:tcBorders>
              <w:top w:val="nil"/>
              <w:left w:val="single" w:sz="4" w:space="0" w:color="auto"/>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proofErr w:type="spellStart"/>
            <w:r w:rsidRPr="005F3499">
              <w:rPr>
                <w:rFonts w:ascii="Calibri" w:eastAsia="Times New Roman" w:hAnsi="Calibri" w:cs="Calibri"/>
                <w:color w:val="000000"/>
                <w:sz w:val="18"/>
                <w:szCs w:val="18"/>
              </w:rPr>
              <w:t>GridName</w:t>
            </w:r>
            <w:proofErr w:type="spellEnd"/>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Text</w:t>
            </w:r>
          </w:p>
        </w:tc>
        <w:tc>
          <w:tcPr>
            <w:tcW w:w="810" w:type="dxa"/>
            <w:tcBorders>
              <w:top w:val="nil"/>
              <w:left w:val="nil"/>
              <w:bottom w:val="single" w:sz="4" w:space="0" w:color="auto"/>
              <w:right w:val="single" w:sz="4" w:space="0" w:color="auto"/>
            </w:tcBorders>
            <w:shd w:val="clear" w:color="auto" w:fill="auto"/>
            <w:noWrap/>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50</w:t>
            </w:r>
          </w:p>
        </w:tc>
        <w:tc>
          <w:tcPr>
            <w:tcW w:w="6526" w:type="dxa"/>
            <w:tcBorders>
              <w:top w:val="nil"/>
              <w:left w:val="nil"/>
              <w:bottom w:val="single" w:sz="4" w:space="0" w:color="auto"/>
              <w:right w:val="single" w:sz="4" w:space="0" w:color="auto"/>
            </w:tcBorders>
            <w:shd w:val="clear" w:color="auto" w:fill="auto"/>
            <w:hideMark/>
          </w:tcPr>
          <w:p w:rsidR="007C321B" w:rsidRPr="005F3499" w:rsidRDefault="007C321B" w:rsidP="007C321B">
            <w:pPr>
              <w:spacing w:after="0" w:line="240" w:lineRule="auto"/>
              <w:rPr>
                <w:rFonts w:ascii="Calibri" w:eastAsia="Times New Roman" w:hAnsi="Calibri" w:cs="Calibri"/>
                <w:color w:val="000000"/>
                <w:sz w:val="18"/>
                <w:szCs w:val="18"/>
              </w:rPr>
            </w:pPr>
            <w:r w:rsidRPr="005F3499">
              <w:rPr>
                <w:rFonts w:ascii="Calibri" w:eastAsia="Times New Roman" w:hAnsi="Calibri" w:cs="Calibri"/>
                <w:color w:val="000000"/>
                <w:sz w:val="18"/>
                <w:szCs w:val="18"/>
              </w:rPr>
              <w:t>Name of flood depth grid. This may seem redundant, given the output file naming convention, but</w:t>
            </w:r>
          </w:p>
        </w:tc>
      </w:tr>
    </w:tbl>
    <w:p w:rsidR="007C321B" w:rsidRDefault="007C321B" w:rsidP="007C321B">
      <w:pPr>
        <w:tabs>
          <w:tab w:val="left" w:pos="9630"/>
        </w:tabs>
      </w:pPr>
    </w:p>
    <w:p w:rsidR="007C321B" w:rsidRDefault="007C321B">
      <w:r>
        <w:br w:type="page"/>
      </w:r>
    </w:p>
    <w:p w:rsidR="00B8779E" w:rsidRDefault="00B8779E" w:rsidP="00B75633">
      <w:pPr>
        <w:pStyle w:val="Heading1"/>
        <w:rPr>
          <w:sz w:val="22"/>
          <w:szCs w:val="22"/>
        </w:rPr>
      </w:pPr>
      <w:bookmarkStart w:id="65" w:name="_Toc464487505"/>
      <w:bookmarkStart w:id="66" w:name="_Toc34388232"/>
      <w:r>
        <w:lastRenderedPageBreak/>
        <w:t xml:space="preserve">Appendix </w:t>
      </w:r>
      <w:r w:rsidR="00B40DAC">
        <w:t>B</w:t>
      </w:r>
      <w:r>
        <w:t>:  Glossary</w:t>
      </w:r>
      <w:bookmarkEnd w:id="65"/>
      <w:bookmarkEnd w:id="66"/>
    </w:p>
    <w:p w:rsidR="005A6081" w:rsidRPr="00706BE1" w:rsidRDefault="005A6081" w:rsidP="005A6081">
      <w:pPr>
        <w:rPr>
          <w:color w:val="000000" w:themeColor="text1"/>
          <w:sz w:val="20"/>
          <w:szCs w:val="20"/>
        </w:rPr>
      </w:pPr>
      <w:r w:rsidRPr="00706BE1">
        <w:rPr>
          <w:b/>
          <w:color w:val="000000" w:themeColor="text1"/>
          <w:sz w:val="20"/>
          <w:szCs w:val="20"/>
        </w:rPr>
        <w:t>1% Annual Chance Flood:</w:t>
      </w:r>
      <w:r w:rsidRPr="00706BE1">
        <w:rPr>
          <w:color w:val="000000" w:themeColor="text1"/>
          <w:sz w:val="20"/>
          <w:szCs w:val="20"/>
        </w:rPr>
        <w:t xml:space="preserve">  A one percent annual chance flood event (a.k.a. 100-year flood) has a one percent (1 in 100) chance of being equaled or exceeded during any given year. The one percent annual chance flood was selected in the early 1970s when the National Flood Insurance Program was tasked with mapping all floodplains in the U.S. It was considered a reasonable balance of protection and cost between the 0.5% (1 in 200) to 0.2% (1 in 500) variable reference used at the time by the U.S. Army Corps of Engineers for floodwater control structure design.  The term 100 year (or 5 year or 500 year) refers to the expected frequency of return of a given flood event. The area of inundation associated with a given flood event is called the </w:t>
      </w:r>
      <w:r w:rsidRPr="00706BE1">
        <w:rPr>
          <w:b/>
          <w:color w:val="000000" w:themeColor="text1"/>
          <w:sz w:val="20"/>
          <w:szCs w:val="20"/>
        </w:rPr>
        <w:t>floodplain</w:t>
      </w:r>
      <w:r w:rsidRPr="00706BE1">
        <w:rPr>
          <w:color w:val="000000" w:themeColor="text1"/>
          <w:sz w:val="20"/>
          <w:szCs w:val="20"/>
        </w:rPr>
        <w:t xml:space="preserve"> (e.g. 1% floodplain, etc.). </w:t>
      </w:r>
    </w:p>
    <w:p w:rsidR="005A6081" w:rsidRPr="00706BE1" w:rsidRDefault="005A6081" w:rsidP="005A6081">
      <w:pPr>
        <w:rPr>
          <w:i/>
          <w:color w:val="000000" w:themeColor="text1"/>
          <w:sz w:val="20"/>
          <w:szCs w:val="20"/>
        </w:rPr>
      </w:pPr>
      <w:r w:rsidRPr="00706BE1">
        <w:rPr>
          <w:i/>
          <w:color w:val="000000" w:themeColor="text1"/>
          <w:sz w:val="20"/>
          <w:szCs w:val="20"/>
        </w:rPr>
        <w:t xml:space="preserve">Source: </w:t>
      </w:r>
      <w:hyperlink r:id="rId40" w:history="1">
        <w:r w:rsidRPr="00706BE1">
          <w:rPr>
            <w:rStyle w:val="Hyperlink"/>
            <w:color w:val="000000" w:themeColor="text1"/>
            <w:sz w:val="20"/>
            <w:szCs w:val="20"/>
          </w:rPr>
          <w:t>The 100 Year Flood Myth</w:t>
        </w:r>
      </w:hyperlink>
      <w:r w:rsidRPr="00706BE1">
        <w:rPr>
          <w:i/>
          <w:color w:val="000000" w:themeColor="text1"/>
          <w:sz w:val="20"/>
          <w:szCs w:val="20"/>
        </w:rPr>
        <w:t>, Federal Emergency Management Agency, Region 10, handout.</w:t>
      </w:r>
    </w:p>
    <w:p w:rsidR="005A6081" w:rsidRDefault="005A6081" w:rsidP="005A6081">
      <w:pPr>
        <w:rPr>
          <w:b/>
          <w:color w:val="000000" w:themeColor="text1"/>
          <w:sz w:val="20"/>
          <w:szCs w:val="20"/>
        </w:rPr>
      </w:pPr>
    </w:p>
    <w:p w:rsidR="005A6081" w:rsidRPr="00706BE1" w:rsidRDefault="005A6081" w:rsidP="005A6081">
      <w:pPr>
        <w:rPr>
          <w:b/>
          <w:color w:val="000000" w:themeColor="text1"/>
          <w:sz w:val="20"/>
          <w:szCs w:val="20"/>
        </w:rPr>
      </w:pPr>
      <w:r w:rsidRPr="00706BE1">
        <w:rPr>
          <w:b/>
          <w:color w:val="000000" w:themeColor="text1"/>
          <w:sz w:val="20"/>
          <w:szCs w:val="20"/>
        </w:rPr>
        <w:t>CAMA/IAS:</w:t>
      </w:r>
      <w:r w:rsidRPr="00706BE1">
        <w:rPr>
          <w:color w:val="000000" w:themeColor="text1"/>
          <w:sz w:val="20"/>
          <w:szCs w:val="20"/>
        </w:rPr>
        <w:t xml:space="preserve"> Computer Assisted Mass Appraisal (CAMA) is the process of using a computer to assist in property tax appraisal and equity evaluation. Administered by the Tax Commissioner, the CAMA system for West Virginia is a centralized Oracle database also known as the Integrated Assessment System (IAS). A number of years ago the State Tax Department purchased real estate mass appraisal software called IAS. This software is installed on the network server in Charleston and is accessed through computers in each County Assessor's Office.  </w:t>
      </w:r>
    </w:p>
    <w:p w:rsidR="005A6081" w:rsidRPr="00706BE1" w:rsidRDefault="005A6081" w:rsidP="005A6081">
      <w:pPr>
        <w:rPr>
          <w:b/>
          <w:sz w:val="20"/>
          <w:szCs w:val="20"/>
        </w:rPr>
      </w:pPr>
    </w:p>
    <w:p w:rsidR="00B8779E" w:rsidRDefault="00B8779E" w:rsidP="00B8779E">
      <w:pPr>
        <w:rPr>
          <w:b/>
          <w:sz w:val="20"/>
          <w:szCs w:val="20"/>
        </w:rPr>
      </w:pPr>
    </w:p>
    <w:p w:rsidR="00B8779E" w:rsidRDefault="00B8779E" w:rsidP="00B8779E">
      <w:pPr>
        <w:rPr>
          <w:sz w:val="22"/>
          <w:szCs w:val="22"/>
        </w:rPr>
      </w:pPr>
    </w:p>
    <w:p w:rsidR="007A7FE1" w:rsidRDefault="007A7FE1" w:rsidP="000A1652">
      <w:pPr>
        <w:spacing w:before="120" w:after="200" w:line="276" w:lineRule="auto"/>
        <w:rPr>
          <w:sz w:val="22"/>
          <w:szCs w:val="22"/>
        </w:rPr>
      </w:pPr>
    </w:p>
    <w:sectPr w:rsidR="007A7FE1" w:rsidSect="00686D7B">
      <w:footerReference w:type="default" r:id="rId41"/>
      <w:footerReference w:type="first" r:id="rId42"/>
      <w:pgSz w:w="12240" w:h="15840" w:code="1"/>
      <w:pgMar w:top="1440"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D1C" w:rsidRDefault="001C3D1C">
      <w:r>
        <w:separator/>
      </w:r>
    </w:p>
  </w:endnote>
  <w:endnote w:type="continuationSeparator" w:id="0">
    <w:p w:rsidR="001C3D1C" w:rsidRDefault="001C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Heiti Std R">
    <w:panose1 w:val="00000000000000000000"/>
    <w:charset w:val="80"/>
    <w:family w:val="swiss"/>
    <w:notTrueType/>
    <w:pitch w:val="variable"/>
    <w:sig w:usb0="00000207" w:usb1="0A0F1810" w:usb2="00000016" w:usb3="00000000" w:csb0="00060007" w:csb1="00000000"/>
  </w:font>
  <w:font w:name="ITCFranklinGothicStd-BkC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D1C" w:rsidRPr="006C6590" w:rsidRDefault="001C3D1C" w:rsidP="006C6590">
    <w:pPr>
      <w:pStyle w:val="Footer"/>
      <w:rPr>
        <w:sz w:val="22"/>
      </w:rPr>
    </w:pPr>
    <w:r>
      <w:rPr>
        <w:i/>
        <w:sz w:val="22"/>
      </w:rPr>
      <w:t>Risk Assessment Methodology</w:t>
    </w:r>
    <w:r>
      <w:rPr>
        <w:sz w:val="22"/>
      </w:rPr>
      <w:t xml:space="preserve"> </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Pr>
        <w:noProof/>
        <w:sz w:val="22"/>
      </w:rPr>
      <w:t>ii</w:t>
    </w:r>
    <w:r w:rsidRPr="003A3143">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6910948"/>
      <w:docPartObj>
        <w:docPartGallery w:val="Page Numbers (Bottom of Page)"/>
        <w:docPartUnique/>
      </w:docPartObj>
    </w:sdtPr>
    <w:sdtEndPr>
      <w:rPr>
        <w:noProof/>
      </w:rPr>
    </w:sdtEndPr>
    <w:sdtContent>
      <w:p w:rsidR="001C3D1C" w:rsidRDefault="001C3D1C">
        <w:pPr>
          <w:pStyle w:val="Footer"/>
          <w:jc w:val="right"/>
        </w:pPr>
        <w:r>
          <w:fldChar w:fldCharType="begin"/>
        </w:r>
        <w:r>
          <w:instrText xml:space="preserve"> PAGE   \* MERGEFORMAT </w:instrText>
        </w:r>
        <w:r>
          <w:fldChar w:fldCharType="separate"/>
        </w:r>
        <w:r>
          <w:rPr>
            <w:noProof/>
          </w:rPr>
          <w:t xml:space="preserve"> </w:t>
        </w:r>
        <w:r>
          <w:rPr>
            <w:noProof/>
          </w:rPr>
          <w:fldChar w:fldCharType="end"/>
        </w:r>
      </w:p>
    </w:sdtContent>
  </w:sdt>
  <w:p w:rsidR="001C3D1C" w:rsidRPr="003A3143" w:rsidRDefault="001C3D1C" w:rsidP="003A3143">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D1C" w:rsidRDefault="001C3D1C" w:rsidP="006C6590">
    <w:pPr>
      <w:pStyle w:val="Footer"/>
      <w:rPr>
        <w:sz w:val="22"/>
      </w:rPr>
    </w:pPr>
  </w:p>
  <w:p w:rsidR="001C3D1C" w:rsidRPr="006C6590" w:rsidRDefault="001C3D1C" w:rsidP="006C6590">
    <w:pPr>
      <w:pStyle w:val="Footer"/>
      <w:rPr>
        <w:sz w:val="22"/>
      </w:rPr>
    </w:pPr>
    <w:r>
      <w:rPr>
        <w:i/>
        <w:sz w:val="22"/>
      </w:rPr>
      <w:t>Flood Risk Assessment Methodology</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Pr>
        <w:noProof/>
        <w:sz w:val="22"/>
      </w:rPr>
      <w:t>17</w:t>
    </w:r>
    <w:r w:rsidRPr="003A3143">
      <w:rPr>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3D1C" w:rsidRDefault="001C3D1C">
    <w:pPr>
      <w:pStyle w:val="Footer"/>
      <w:jc w:val="right"/>
    </w:pPr>
  </w:p>
  <w:p w:rsidR="001C3D1C" w:rsidRPr="006C6590" w:rsidRDefault="001C3D1C" w:rsidP="00B70814">
    <w:pPr>
      <w:pStyle w:val="Footer"/>
      <w:rPr>
        <w:sz w:val="22"/>
      </w:rPr>
    </w:pPr>
    <w:r w:rsidRPr="00B039C1">
      <w:rPr>
        <w:i/>
        <w:sz w:val="22"/>
      </w:rPr>
      <w:t>Flood Risk</w:t>
    </w:r>
    <w:r>
      <w:rPr>
        <w:i/>
        <w:sz w:val="22"/>
      </w:rPr>
      <w:t xml:space="preserve"> Assessment Methodology</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Pr>
        <w:noProof/>
        <w:sz w:val="22"/>
      </w:rPr>
      <w:t>1</w:t>
    </w:r>
    <w:r w:rsidRPr="003A3143">
      <w:rPr>
        <w:noProof/>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D1C" w:rsidRDefault="001C3D1C">
      <w:r>
        <w:separator/>
      </w:r>
    </w:p>
  </w:footnote>
  <w:footnote w:type="continuationSeparator" w:id="0">
    <w:p w:rsidR="001C3D1C" w:rsidRDefault="001C3D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4BD4"/>
    <w:multiLevelType w:val="multilevel"/>
    <w:tmpl w:val="04090025"/>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62868DD"/>
    <w:multiLevelType w:val="hybridMultilevel"/>
    <w:tmpl w:val="4C5CF9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760131"/>
    <w:multiLevelType w:val="hybridMultilevel"/>
    <w:tmpl w:val="C320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E7BCC"/>
    <w:multiLevelType w:val="hybridMultilevel"/>
    <w:tmpl w:val="08BEAB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7D0123"/>
    <w:multiLevelType w:val="hybridMultilevel"/>
    <w:tmpl w:val="7F125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2705B"/>
    <w:multiLevelType w:val="hybridMultilevel"/>
    <w:tmpl w:val="B4F48D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6F76BB"/>
    <w:multiLevelType w:val="hybridMultilevel"/>
    <w:tmpl w:val="91201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930227"/>
    <w:multiLevelType w:val="hybridMultilevel"/>
    <w:tmpl w:val="756C3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FE56A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 w15:restartNumberingAfterBreak="0">
    <w:nsid w:val="40AE0B81"/>
    <w:multiLevelType w:val="multilevel"/>
    <w:tmpl w:val="2C3C3D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90163A"/>
    <w:multiLevelType w:val="hybridMultilevel"/>
    <w:tmpl w:val="AE28D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36CB2"/>
    <w:multiLevelType w:val="hybridMultilevel"/>
    <w:tmpl w:val="783C3752"/>
    <w:lvl w:ilvl="0" w:tplc="57420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2F287B"/>
    <w:multiLevelType w:val="hybridMultilevel"/>
    <w:tmpl w:val="7486C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F7C7C"/>
    <w:multiLevelType w:val="hybridMultilevel"/>
    <w:tmpl w:val="09E4F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856B7"/>
    <w:multiLevelType w:val="hybridMultilevel"/>
    <w:tmpl w:val="CAEA0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3F107E2"/>
    <w:multiLevelType w:val="multilevel"/>
    <w:tmpl w:val="04090025"/>
    <w:styleLink w:val="MHMPChapterLabels"/>
    <w:lvl w:ilvl="0">
      <w:start w:val="1"/>
      <w:numFmt w:val="decima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B593A5C"/>
    <w:multiLevelType w:val="hybridMultilevel"/>
    <w:tmpl w:val="33AA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905E7"/>
    <w:multiLevelType w:val="hybridMultilevel"/>
    <w:tmpl w:val="94EA77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A9F6E50"/>
    <w:multiLevelType w:val="hybridMultilevel"/>
    <w:tmpl w:val="AB58C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F87C49"/>
    <w:multiLevelType w:val="hybridMultilevel"/>
    <w:tmpl w:val="86FE5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0"/>
  </w:num>
  <w:num w:numId="4">
    <w:abstractNumId w:val="11"/>
  </w:num>
  <w:num w:numId="5">
    <w:abstractNumId w:val="17"/>
  </w:num>
  <w:num w:numId="6">
    <w:abstractNumId w:val="5"/>
  </w:num>
  <w:num w:numId="7">
    <w:abstractNumId w:val="1"/>
  </w:num>
  <w:num w:numId="8">
    <w:abstractNumId w:val="14"/>
  </w:num>
  <w:num w:numId="9">
    <w:abstractNumId w:val="18"/>
  </w:num>
  <w:num w:numId="10">
    <w:abstractNumId w:val="6"/>
  </w:num>
  <w:num w:numId="11">
    <w:abstractNumId w:val="7"/>
  </w:num>
  <w:num w:numId="12">
    <w:abstractNumId w:val="4"/>
  </w:num>
  <w:num w:numId="13">
    <w:abstractNumId w:val="12"/>
  </w:num>
  <w:num w:numId="14">
    <w:abstractNumId w:val="16"/>
  </w:num>
  <w:num w:numId="15">
    <w:abstractNumId w:val="19"/>
  </w:num>
  <w:num w:numId="16">
    <w:abstractNumId w:val="10"/>
  </w:num>
  <w:num w:numId="17">
    <w:abstractNumId w:val="9"/>
  </w:num>
  <w:num w:numId="18">
    <w:abstractNumId w:val="2"/>
  </w:num>
  <w:num w:numId="19">
    <w:abstractNumId w:val="13"/>
  </w:num>
  <w:num w:numId="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drawingGridHorizontalSpacing w:val="120"/>
  <w:drawingGridVerticalSpacing w:val="187"/>
  <w:displayHorizontalDrawingGridEvery w:val="2"/>
  <w:noPunctuationKerning/>
  <w:characterSpacingControl w:val="doNotCompress"/>
  <w:hdrShapeDefaults>
    <o:shapedefaults v:ext="edit" spidmax="27649">
      <v:stroke endarrow="block"/>
      <o:colormru v:ext="edit" colors="#ffe2a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37C"/>
    <w:rsid w:val="000000E4"/>
    <w:rsid w:val="00000908"/>
    <w:rsid w:val="00001550"/>
    <w:rsid w:val="00001BB6"/>
    <w:rsid w:val="00001FFB"/>
    <w:rsid w:val="0000486C"/>
    <w:rsid w:val="00004E4D"/>
    <w:rsid w:val="000060C7"/>
    <w:rsid w:val="00007E7C"/>
    <w:rsid w:val="00010524"/>
    <w:rsid w:val="000108AB"/>
    <w:rsid w:val="00011DD2"/>
    <w:rsid w:val="00011ED9"/>
    <w:rsid w:val="0001254E"/>
    <w:rsid w:val="00013BEC"/>
    <w:rsid w:val="00013CE8"/>
    <w:rsid w:val="0001434A"/>
    <w:rsid w:val="00014F00"/>
    <w:rsid w:val="00017330"/>
    <w:rsid w:val="00017945"/>
    <w:rsid w:val="00017BE0"/>
    <w:rsid w:val="00017F7B"/>
    <w:rsid w:val="00020161"/>
    <w:rsid w:val="00020496"/>
    <w:rsid w:val="0002246A"/>
    <w:rsid w:val="00022872"/>
    <w:rsid w:val="00022AA8"/>
    <w:rsid w:val="00022F1A"/>
    <w:rsid w:val="00023197"/>
    <w:rsid w:val="00023271"/>
    <w:rsid w:val="00023C56"/>
    <w:rsid w:val="00023E0E"/>
    <w:rsid w:val="00025870"/>
    <w:rsid w:val="00026356"/>
    <w:rsid w:val="0002677A"/>
    <w:rsid w:val="00027356"/>
    <w:rsid w:val="00031B52"/>
    <w:rsid w:val="000323FC"/>
    <w:rsid w:val="00033681"/>
    <w:rsid w:val="000341AF"/>
    <w:rsid w:val="0003456C"/>
    <w:rsid w:val="00034D36"/>
    <w:rsid w:val="00035A6F"/>
    <w:rsid w:val="00035EE4"/>
    <w:rsid w:val="00035F7A"/>
    <w:rsid w:val="000364D0"/>
    <w:rsid w:val="00036786"/>
    <w:rsid w:val="0004061E"/>
    <w:rsid w:val="0004088A"/>
    <w:rsid w:val="00040A9A"/>
    <w:rsid w:val="00041C01"/>
    <w:rsid w:val="00043604"/>
    <w:rsid w:val="00043D24"/>
    <w:rsid w:val="00044DFC"/>
    <w:rsid w:val="000477E6"/>
    <w:rsid w:val="00047A0F"/>
    <w:rsid w:val="00050380"/>
    <w:rsid w:val="000504A8"/>
    <w:rsid w:val="00050734"/>
    <w:rsid w:val="00050C83"/>
    <w:rsid w:val="00051CD4"/>
    <w:rsid w:val="000529CF"/>
    <w:rsid w:val="000538F4"/>
    <w:rsid w:val="00053F7E"/>
    <w:rsid w:val="00054D49"/>
    <w:rsid w:val="00054F53"/>
    <w:rsid w:val="000564D0"/>
    <w:rsid w:val="00057804"/>
    <w:rsid w:val="00060587"/>
    <w:rsid w:val="00061178"/>
    <w:rsid w:val="00061B9C"/>
    <w:rsid w:val="00062614"/>
    <w:rsid w:val="00062A7C"/>
    <w:rsid w:val="00062CD9"/>
    <w:rsid w:val="00064107"/>
    <w:rsid w:val="000650F9"/>
    <w:rsid w:val="00065EE7"/>
    <w:rsid w:val="00066393"/>
    <w:rsid w:val="00067A20"/>
    <w:rsid w:val="00067FDB"/>
    <w:rsid w:val="00071FB5"/>
    <w:rsid w:val="00072412"/>
    <w:rsid w:val="00073886"/>
    <w:rsid w:val="00073FF7"/>
    <w:rsid w:val="0007470E"/>
    <w:rsid w:val="00074DAF"/>
    <w:rsid w:val="00076557"/>
    <w:rsid w:val="00076B56"/>
    <w:rsid w:val="0007784C"/>
    <w:rsid w:val="00077E78"/>
    <w:rsid w:val="00077EA0"/>
    <w:rsid w:val="000801DF"/>
    <w:rsid w:val="0008162A"/>
    <w:rsid w:val="00081B99"/>
    <w:rsid w:val="000847C9"/>
    <w:rsid w:val="00084F52"/>
    <w:rsid w:val="000859A1"/>
    <w:rsid w:val="00085AD9"/>
    <w:rsid w:val="000868C1"/>
    <w:rsid w:val="000903EB"/>
    <w:rsid w:val="00095592"/>
    <w:rsid w:val="00095D96"/>
    <w:rsid w:val="00096BB2"/>
    <w:rsid w:val="00096E8A"/>
    <w:rsid w:val="00097BE1"/>
    <w:rsid w:val="000A07D1"/>
    <w:rsid w:val="000A1652"/>
    <w:rsid w:val="000A2B5D"/>
    <w:rsid w:val="000A3032"/>
    <w:rsid w:val="000A4AB4"/>
    <w:rsid w:val="000A59FD"/>
    <w:rsid w:val="000A65CE"/>
    <w:rsid w:val="000A7003"/>
    <w:rsid w:val="000A7D04"/>
    <w:rsid w:val="000B02D7"/>
    <w:rsid w:val="000B0DE8"/>
    <w:rsid w:val="000B1023"/>
    <w:rsid w:val="000B11D0"/>
    <w:rsid w:val="000B134E"/>
    <w:rsid w:val="000B14D5"/>
    <w:rsid w:val="000B14DA"/>
    <w:rsid w:val="000B1728"/>
    <w:rsid w:val="000B1AD0"/>
    <w:rsid w:val="000B1CA6"/>
    <w:rsid w:val="000B1EF0"/>
    <w:rsid w:val="000B3EEE"/>
    <w:rsid w:val="000B52E4"/>
    <w:rsid w:val="000B55C9"/>
    <w:rsid w:val="000B5ACD"/>
    <w:rsid w:val="000B6D9F"/>
    <w:rsid w:val="000B7ACF"/>
    <w:rsid w:val="000C066D"/>
    <w:rsid w:val="000C07B2"/>
    <w:rsid w:val="000C0A10"/>
    <w:rsid w:val="000C1489"/>
    <w:rsid w:val="000C217C"/>
    <w:rsid w:val="000C348E"/>
    <w:rsid w:val="000C42C6"/>
    <w:rsid w:val="000C4A8E"/>
    <w:rsid w:val="000C778A"/>
    <w:rsid w:val="000D1220"/>
    <w:rsid w:val="000D1B0A"/>
    <w:rsid w:val="000D35D5"/>
    <w:rsid w:val="000D554C"/>
    <w:rsid w:val="000D5CEE"/>
    <w:rsid w:val="000D6B61"/>
    <w:rsid w:val="000D6F61"/>
    <w:rsid w:val="000D70AF"/>
    <w:rsid w:val="000D7340"/>
    <w:rsid w:val="000D7467"/>
    <w:rsid w:val="000D7F4A"/>
    <w:rsid w:val="000E00A0"/>
    <w:rsid w:val="000E03FF"/>
    <w:rsid w:val="000E0557"/>
    <w:rsid w:val="000E09A3"/>
    <w:rsid w:val="000E09B5"/>
    <w:rsid w:val="000E0BE8"/>
    <w:rsid w:val="000E0E7B"/>
    <w:rsid w:val="000E22CB"/>
    <w:rsid w:val="000E2C68"/>
    <w:rsid w:val="000E2D34"/>
    <w:rsid w:val="000E4851"/>
    <w:rsid w:val="000E4DEE"/>
    <w:rsid w:val="000E5889"/>
    <w:rsid w:val="000E5E7C"/>
    <w:rsid w:val="000E6235"/>
    <w:rsid w:val="000E6703"/>
    <w:rsid w:val="000E6893"/>
    <w:rsid w:val="000E6DDB"/>
    <w:rsid w:val="000E794E"/>
    <w:rsid w:val="000E7AD3"/>
    <w:rsid w:val="000F1734"/>
    <w:rsid w:val="000F266B"/>
    <w:rsid w:val="000F3B40"/>
    <w:rsid w:val="000F4440"/>
    <w:rsid w:val="000F464D"/>
    <w:rsid w:val="000F4688"/>
    <w:rsid w:val="000F47DA"/>
    <w:rsid w:val="000F6525"/>
    <w:rsid w:val="000F6543"/>
    <w:rsid w:val="000F6D52"/>
    <w:rsid w:val="000F729B"/>
    <w:rsid w:val="000F729C"/>
    <w:rsid w:val="000F7C9F"/>
    <w:rsid w:val="000F7D27"/>
    <w:rsid w:val="000F7FD8"/>
    <w:rsid w:val="001006C1"/>
    <w:rsid w:val="00100A16"/>
    <w:rsid w:val="001011A1"/>
    <w:rsid w:val="001011A9"/>
    <w:rsid w:val="00101985"/>
    <w:rsid w:val="00101B12"/>
    <w:rsid w:val="00101ED1"/>
    <w:rsid w:val="00102962"/>
    <w:rsid w:val="0010382C"/>
    <w:rsid w:val="00103A09"/>
    <w:rsid w:val="001044E0"/>
    <w:rsid w:val="001051B1"/>
    <w:rsid w:val="00105649"/>
    <w:rsid w:val="0010796E"/>
    <w:rsid w:val="00107D0E"/>
    <w:rsid w:val="00113028"/>
    <w:rsid w:val="00113610"/>
    <w:rsid w:val="00113946"/>
    <w:rsid w:val="0011405B"/>
    <w:rsid w:val="00114338"/>
    <w:rsid w:val="0011456A"/>
    <w:rsid w:val="00114777"/>
    <w:rsid w:val="00115043"/>
    <w:rsid w:val="00115664"/>
    <w:rsid w:val="0011719C"/>
    <w:rsid w:val="00120242"/>
    <w:rsid w:val="001202EE"/>
    <w:rsid w:val="00120947"/>
    <w:rsid w:val="00120EF8"/>
    <w:rsid w:val="00121007"/>
    <w:rsid w:val="00121437"/>
    <w:rsid w:val="00121AFC"/>
    <w:rsid w:val="001221A6"/>
    <w:rsid w:val="0012328E"/>
    <w:rsid w:val="001237AE"/>
    <w:rsid w:val="00124041"/>
    <w:rsid w:val="0012688F"/>
    <w:rsid w:val="001270CB"/>
    <w:rsid w:val="001279FD"/>
    <w:rsid w:val="00132527"/>
    <w:rsid w:val="00132E01"/>
    <w:rsid w:val="001334D6"/>
    <w:rsid w:val="00133693"/>
    <w:rsid w:val="00133EA9"/>
    <w:rsid w:val="00135C8C"/>
    <w:rsid w:val="0013624B"/>
    <w:rsid w:val="00136E62"/>
    <w:rsid w:val="00137669"/>
    <w:rsid w:val="00137AE0"/>
    <w:rsid w:val="00137BDA"/>
    <w:rsid w:val="00137ED5"/>
    <w:rsid w:val="001402BE"/>
    <w:rsid w:val="001407A7"/>
    <w:rsid w:val="00140D93"/>
    <w:rsid w:val="00141162"/>
    <w:rsid w:val="001420AB"/>
    <w:rsid w:val="0014261C"/>
    <w:rsid w:val="00143611"/>
    <w:rsid w:val="001442D4"/>
    <w:rsid w:val="0014480C"/>
    <w:rsid w:val="001449D8"/>
    <w:rsid w:val="00145BAB"/>
    <w:rsid w:val="001478EA"/>
    <w:rsid w:val="00147E82"/>
    <w:rsid w:val="0015149A"/>
    <w:rsid w:val="00151A19"/>
    <w:rsid w:val="00151E6A"/>
    <w:rsid w:val="00153322"/>
    <w:rsid w:val="00153744"/>
    <w:rsid w:val="00153FD3"/>
    <w:rsid w:val="001549F4"/>
    <w:rsid w:val="00155032"/>
    <w:rsid w:val="00156F07"/>
    <w:rsid w:val="00162700"/>
    <w:rsid w:val="001636AF"/>
    <w:rsid w:val="00163DD8"/>
    <w:rsid w:val="00164B5F"/>
    <w:rsid w:val="00164C1E"/>
    <w:rsid w:val="00166B8C"/>
    <w:rsid w:val="00166E66"/>
    <w:rsid w:val="00166FAE"/>
    <w:rsid w:val="001673C9"/>
    <w:rsid w:val="00167B10"/>
    <w:rsid w:val="00167EFB"/>
    <w:rsid w:val="0017073B"/>
    <w:rsid w:val="00170F93"/>
    <w:rsid w:val="001727CB"/>
    <w:rsid w:val="00172ACB"/>
    <w:rsid w:val="00172F7E"/>
    <w:rsid w:val="001734A6"/>
    <w:rsid w:val="00175164"/>
    <w:rsid w:val="0017770C"/>
    <w:rsid w:val="00177850"/>
    <w:rsid w:val="00181061"/>
    <w:rsid w:val="0018167C"/>
    <w:rsid w:val="001837C2"/>
    <w:rsid w:val="001838DC"/>
    <w:rsid w:val="001844DC"/>
    <w:rsid w:val="00184D60"/>
    <w:rsid w:val="001855E9"/>
    <w:rsid w:val="0018656B"/>
    <w:rsid w:val="00186615"/>
    <w:rsid w:val="00190D09"/>
    <w:rsid w:val="00191A87"/>
    <w:rsid w:val="00191E0C"/>
    <w:rsid w:val="00191EDF"/>
    <w:rsid w:val="001921F3"/>
    <w:rsid w:val="0019224C"/>
    <w:rsid w:val="0019351C"/>
    <w:rsid w:val="0019407F"/>
    <w:rsid w:val="00194F12"/>
    <w:rsid w:val="001957F3"/>
    <w:rsid w:val="001968AA"/>
    <w:rsid w:val="00196975"/>
    <w:rsid w:val="00196A2D"/>
    <w:rsid w:val="0019762B"/>
    <w:rsid w:val="001979B9"/>
    <w:rsid w:val="00197ADA"/>
    <w:rsid w:val="00197B00"/>
    <w:rsid w:val="001A01C5"/>
    <w:rsid w:val="001A02AF"/>
    <w:rsid w:val="001A131A"/>
    <w:rsid w:val="001A343B"/>
    <w:rsid w:val="001A3741"/>
    <w:rsid w:val="001A3E52"/>
    <w:rsid w:val="001A493F"/>
    <w:rsid w:val="001A4F45"/>
    <w:rsid w:val="001A5C31"/>
    <w:rsid w:val="001A6803"/>
    <w:rsid w:val="001A7698"/>
    <w:rsid w:val="001A7C42"/>
    <w:rsid w:val="001A7E49"/>
    <w:rsid w:val="001B0E73"/>
    <w:rsid w:val="001B0EE9"/>
    <w:rsid w:val="001B11AC"/>
    <w:rsid w:val="001B24C4"/>
    <w:rsid w:val="001B29A6"/>
    <w:rsid w:val="001B2D4A"/>
    <w:rsid w:val="001B30B6"/>
    <w:rsid w:val="001B31DB"/>
    <w:rsid w:val="001B3D93"/>
    <w:rsid w:val="001B528D"/>
    <w:rsid w:val="001B5BC0"/>
    <w:rsid w:val="001B649F"/>
    <w:rsid w:val="001B70ED"/>
    <w:rsid w:val="001B7707"/>
    <w:rsid w:val="001B7B06"/>
    <w:rsid w:val="001C0904"/>
    <w:rsid w:val="001C1323"/>
    <w:rsid w:val="001C175C"/>
    <w:rsid w:val="001C17AB"/>
    <w:rsid w:val="001C2006"/>
    <w:rsid w:val="001C2E52"/>
    <w:rsid w:val="001C3A71"/>
    <w:rsid w:val="001C3D1C"/>
    <w:rsid w:val="001C4C06"/>
    <w:rsid w:val="001C4F47"/>
    <w:rsid w:val="001C5562"/>
    <w:rsid w:val="001C55BE"/>
    <w:rsid w:val="001C5705"/>
    <w:rsid w:val="001C6A24"/>
    <w:rsid w:val="001C7A62"/>
    <w:rsid w:val="001C7BCB"/>
    <w:rsid w:val="001D200F"/>
    <w:rsid w:val="001D25FC"/>
    <w:rsid w:val="001D2F9C"/>
    <w:rsid w:val="001D2FFD"/>
    <w:rsid w:val="001D30EC"/>
    <w:rsid w:val="001D465F"/>
    <w:rsid w:val="001D5EF0"/>
    <w:rsid w:val="001D64DA"/>
    <w:rsid w:val="001D6657"/>
    <w:rsid w:val="001D6FF5"/>
    <w:rsid w:val="001D726F"/>
    <w:rsid w:val="001D7C69"/>
    <w:rsid w:val="001D7DB2"/>
    <w:rsid w:val="001E08AF"/>
    <w:rsid w:val="001E19C8"/>
    <w:rsid w:val="001E4A44"/>
    <w:rsid w:val="001E4FA1"/>
    <w:rsid w:val="001E6E34"/>
    <w:rsid w:val="001E76EA"/>
    <w:rsid w:val="001E78B7"/>
    <w:rsid w:val="001E7CF2"/>
    <w:rsid w:val="001F1993"/>
    <w:rsid w:val="001F23A6"/>
    <w:rsid w:val="001F3B05"/>
    <w:rsid w:val="001F3EAE"/>
    <w:rsid w:val="001F4442"/>
    <w:rsid w:val="001F46CD"/>
    <w:rsid w:val="001F5B1E"/>
    <w:rsid w:val="001F5B98"/>
    <w:rsid w:val="001F6D7A"/>
    <w:rsid w:val="001F6E49"/>
    <w:rsid w:val="001F7424"/>
    <w:rsid w:val="00200DB2"/>
    <w:rsid w:val="00203127"/>
    <w:rsid w:val="002031C8"/>
    <w:rsid w:val="00204AFF"/>
    <w:rsid w:val="00204E9D"/>
    <w:rsid w:val="002061E1"/>
    <w:rsid w:val="0020657A"/>
    <w:rsid w:val="00206B59"/>
    <w:rsid w:val="00206C7B"/>
    <w:rsid w:val="00206E14"/>
    <w:rsid w:val="00207379"/>
    <w:rsid w:val="00207ED5"/>
    <w:rsid w:val="00210E46"/>
    <w:rsid w:val="00211E2B"/>
    <w:rsid w:val="00211E9F"/>
    <w:rsid w:val="0021268D"/>
    <w:rsid w:val="0021274B"/>
    <w:rsid w:val="0021330C"/>
    <w:rsid w:val="002135DF"/>
    <w:rsid w:val="00213CBE"/>
    <w:rsid w:val="002143F5"/>
    <w:rsid w:val="002151AB"/>
    <w:rsid w:val="002165BD"/>
    <w:rsid w:val="00220119"/>
    <w:rsid w:val="00220735"/>
    <w:rsid w:val="00220E23"/>
    <w:rsid w:val="00221863"/>
    <w:rsid w:val="00221E65"/>
    <w:rsid w:val="00222B5D"/>
    <w:rsid w:val="002232AD"/>
    <w:rsid w:val="00224CF0"/>
    <w:rsid w:val="00224F82"/>
    <w:rsid w:val="002251A3"/>
    <w:rsid w:val="00225C4B"/>
    <w:rsid w:val="0022629F"/>
    <w:rsid w:val="00226321"/>
    <w:rsid w:val="00227B02"/>
    <w:rsid w:val="00227E89"/>
    <w:rsid w:val="00230325"/>
    <w:rsid w:val="00230896"/>
    <w:rsid w:val="00234BBA"/>
    <w:rsid w:val="00234C2D"/>
    <w:rsid w:val="00234CD1"/>
    <w:rsid w:val="00234E71"/>
    <w:rsid w:val="002351A1"/>
    <w:rsid w:val="0023574A"/>
    <w:rsid w:val="0023632A"/>
    <w:rsid w:val="00237A74"/>
    <w:rsid w:val="00240DD6"/>
    <w:rsid w:val="002413C8"/>
    <w:rsid w:val="0024179C"/>
    <w:rsid w:val="00242261"/>
    <w:rsid w:val="00242B2F"/>
    <w:rsid w:val="002435D6"/>
    <w:rsid w:val="0024441F"/>
    <w:rsid w:val="002444CF"/>
    <w:rsid w:val="00244BF3"/>
    <w:rsid w:val="00250806"/>
    <w:rsid w:val="00251D63"/>
    <w:rsid w:val="0025275C"/>
    <w:rsid w:val="002537EC"/>
    <w:rsid w:val="002539D6"/>
    <w:rsid w:val="00254105"/>
    <w:rsid w:val="002542A7"/>
    <w:rsid w:val="00255E67"/>
    <w:rsid w:val="002568D4"/>
    <w:rsid w:val="002571BB"/>
    <w:rsid w:val="00257DDD"/>
    <w:rsid w:val="00260908"/>
    <w:rsid w:val="00261191"/>
    <w:rsid w:val="0026130A"/>
    <w:rsid w:val="002617CC"/>
    <w:rsid w:val="00263ADD"/>
    <w:rsid w:val="00263D0C"/>
    <w:rsid w:val="0026407B"/>
    <w:rsid w:val="0026498D"/>
    <w:rsid w:val="00265931"/>
    <w:rsid w:val="00265D37"/>
    <w:rsid w:val="002663E3"/>
    <w:rsid w:val="0026658F"/>
    <w:rsid w:val="00267CC4"/>
    <w:rsid w:val="002701B7"/>
    <w:rsid w:val="00271441"/>
    <w:rsid w:val="002722BB"/>
    <w:rsid w:val="002722E2"/>
    <w:rsid w:val="00273C9F"/>
    <w:rsid w:val="00274541"/>
    <w:rsid w:val="00276CD7"/>
    <w:rsid w:val="00276E34"/>
    <w:rsid w:val="002773A0"/>
    <w:rsid w:val="00281A52"/>
    <w:rsid w:val="00282AE5"/>
    <w:rsid w:val="00282EB0"/>
    <w:rsid w:val="00282F2F"/>
    <w:rsid w:val="002838A0"/>
    <w:rsid w:val="002843A8"/>
    <w:rsid w:val="00284E14"/>
    <w:rsid w:val="00285C18"/>
    <w:rsid w:val="00286A5B"/>
    <w:rsid w:val="002870DF"/>
    <w:rsid w:val="002921C2"/>
    <w:rsid w:val="002925A8"/>
    <w:rsid w:val="00292CCD"/>
    <w:rsid w:val="0029337C"/>
    <w:rsid w:val="00293B68"/>
    <w:rsid w:val="00293FAF"/>
    <w:rsid w:val="00294042"/>
    <w:rsid w:val="0029488A"/>
    <w:rsid w:val="00294ADD"/>
    <w:rsid w:val="00294DFE"/>
    <w:rsid w:val="00295938"/>
    <w:rsid w:val="002963B8"/>
    <w:rsid w:val="0029649C"/>
    <w:rsid w:val="002A0F01"/>
    <w:rsid w:val="002A18C8"/>
    <w:rsid w:val="002A2865"/>
    <w:rsid w:val="002A3452"/>
    <w:rsid w:val="002A371E"/>
    <w:rsid w:val="002A4C37"/>
    <w:rsid w:val="002A5935"/>
    <w:rsid w:val="002A6F72"/>
    <w:rsid w:val="002A7EC3"/>
    <w:rsid w:val="002B0357"/>
    <w:rsid w:val="002B0D52"/>
    <w:rsid w:val="002B150B"/>
    <w:rsid w:val="002B1DE3"/>
    <w:rsid w:val="002B28DC"/>
    <w:rsid w:val="002B2DC0"/>
    <w:rsid w:val="002B3443"/>
    <w:rsid w:val="002B49F0"/>
    <w:rsid w:val="002B4ABC"/>
    <w:rsid w:val="002B6776"/>
    <w:rsid w:val="002B6EFC"/>
    <w:rsid w:val="002B72C0"/>
    <w:rsid w:val="002B72EF"/>
    <w:rsid w:val="002B79F4"/>
    <w:rsid w:val="002C0836"/>
    <w:rsid w:val="002C098F"/>
    <w:rsid w:val="002C0B9B"/>
    <w:rsid w:val="002C165E"/>
    <w:rsid w:val="002C1FED"/>
    <w:rsid w:val="002C271C"/>
    <w:rsid w:val="002C3CD1"/>
    <w:rsid w:val="002C4335"/>
    <w:rsid w:val="002C5827"/>
    <w:rsid w:val="002C5B02"/>
    <w:rsid w:val="002C5E70"/>
    <w:rsid w:val="002C6F14"/>
    <w:rsid w:val="002C75D5"/>
    <w:rsid w:val="002D2334"/>
    <w:rsid w:val="002D383C"/>
    <w:rsid w:val="002D4891"/>
    <w:rsid w:val="002D4925"/>
    <w:rsid w:val="002D55F6"/>
    <w:rsid w:val="002D5CAC"/>
    <w:rsid w:val="002D6596"/>
    <w:rsid w:val="002E0012"/>
    <w:rsid w:val="002E0666"/>
    <w:rsid w:val="002E07E9"/>
    <w:rsid w:val="002E1C24"/>
    <w:rsid w:val="002E202C"/>
    <w:rsid w:val="002E2FF2"/>
    <w:rsid w:val="002E3A44"/>
    <w:rsid w:val="002E3B95"/>
    <w:rsid w:val="002E6677"/>
    <w:rsid w:val="002E6DE6"/>
    <w:rsid w:val="002E755B"/>
    <w:rsid w:val="002F0415"/>
    <w:rsid w:val="002F12BC"/>
    <w:rsid w:val="002F1D09"/>
    <w:rsid w:val="002F2CCF"/>
    <w:rsid w:val="002F3790"/>
    <w:rsid w:val="002F6854"/>
    <w:rsid w:val="002F6CD1"/>
    <w:rsid w:val="002F7260"/>
    <w:rsid w:val="002F79E2"/>
    <w:rsid w:val="003001C8"/>
    <w:rsid w:val="0030190E"/>
    <w:rsid w:val="00301BCA"/>
    <w:rsid w:val="00302181"/>
    <w:rsid w:val="00302388"/>
    <w:rsid w:val="00302DD7"/>
    <w:rsid w:val="00307F8A"/>
    <w:rsid w:val="003116BD"/>
    <w:rsid w:val="0031186C"/>
    <w:rsid w:val="00311B4F"/>
    <w:rsid w:val="00311E9D"/>
    <w:rsid w:val="00311F05"/>
    <w:rsid w:val="00312489"/>
    <w:rsid w:val="00313041"/>
    <w:rsid w:val="00315383"/>
    <w:rsid w:val="00316150"/>
    <w:rsid w:val="00316422"/>
    <w:rsid w:val="00316EC9"/>
    <w:rsid w:val="0032031A"/>
    <w:rsid w:val="00321F81"/>
    <w:rsid w:val="003229FC"/>
    <w:rsid w:val="00322E81"/>
    <w:rsid w:val="003238BB"/>
    <w:rsid w:val="00324A8B"/>
    <w:rsid w:val="00326976"/>
    <w:rsid w:val="00326D71"/>
    <w:rsid w:val="00327B7F"/>
    <w:rsid w:val="00330D9E"/>
    <w:rsid w:val="00330F60"/>
    <w:rsid w:val="0033137E"/>
    <w:rsid w:val="00333FDD"/>
    <w:rsid w:val="003346E4"/>
    <w:rsid w:val="003362B1"/>
    <w:rsid w:val="00336BFE"/>
    <w:rsid w:val="00336EC1"/>
    <w:rsid w:val="0034081A"/>
    <w:rsid w:val="00340EF8"/>
    <w:rsid w:val="00342276"/>
    <w:rsid w:val="003424F4"/>
    <w:rsid w:val="00343332"/>
    <w:rsid w:val="00343CE4"/>
    <w:rsid w:val="0034423A"/>
    <w:rsid w:val="00344510"/>
    <w:rsid w:val="00344685"/>
    <w:rsid w:val="00345972"/>
    <w:rsid w:val="0034718A"/>
    <w:rsid w:val="0034768A"/>
    <w:rsid w:val="003505C5"/>
    <w:rsid w:val="0035101D"/>
    <w:rsid w:val="0035226C"/>
    <w:rsid w:val="00352912"/>
    <w:rsid w:val="0035323E"/>
    <w:rsid w:val="00353288"/>
    <w:rsid w:val="00353E03"/>
    <w:rsid w:val="00354369"/>
    <w:rsid w:val="00354B54"/>
    <w:rsid w:val="00354D1C"/>
    <w:rsid w:val="00357345"/>
    <w:rsid w:val="003577D6"/>
    <w:rsid w:val="00357807"/>
    <w:rsid w:val="0036098A"/>
    <w:rsid w:val="00361611"/>
    <w:rsid w:val="00362B5A"/>
    <w:rsid w:val="00363C47"/>
    <w:rsid w:val="00363FC4"/>
    <w:rsid w:val="0036549E"/>
    <w:rsid w:val="003666D7"/>
    <w:rsid w:val="0036696C"/>
    <w:rsid w:val="00366D7D"/>
    <w:rsid w:val="00370433"/>
    <w:rsid w:val="00370C05"/>
    <w:rsid w:val="00370D8E"/>
    <w:rsid w:val="0037241B"/>
    <w:rsid w:val="00372694"/>
    <w:rsid w:val="00373CE3"/>
    <w:rsid w:val="00374960"/>
    <w:rsid w:val="00374B35"/>
    <w:rsid w:val="00374EA8"/>
    <w:rsid w:val="00375FBA"/>
    <w:rsid w:val="00376241"/>
    <w:rsid w:val="0037739D"/>
    <w:rsid w:val="00377438"/>
    <w:rsid w:val="003813B4"/>
    <w:rsid w:val="00382C9C"/>
    <w:rsid w:val="00383BA4"/>
    <w:rsid w:val="00384263"/>
    <w:rsid w:val="003853A3"/>
    <w:rsid w:val="00385D2B"/>
    <w:rsid w:val="0038734B"/>
    <w:rsid w:val="00387429"/>
    <w:rsid w:val="003878EF"/>
    <w:rsid w:val="00390FC4"/>
    <w:rsid w:val="00393FB3"/>
    <w:rsid w:val="00394903"/>
    <w:rsid w:val="00395B58"/>
    <w:rsid w:val="003961CA"/>
    <w:rsid w:val="00396262"/>
    <w:rsid w:val="003A07B1"/>
    <w:rsid w:val="003A096A"/>
    <w:rsid w:val="003A0B8A"/>
    <w:rsid w:val="003A1E67"/>
    <w:rsid w:val="003A3143"/>
    <w:rsid w:val="003A3FA9"/>
    <w:rsid w:val="003A4AE9"/>
    <w:rsid w:val="003A53F9"/>
    <w:rsid w:val="003A682E"/>
    <w:rsid w:val="003A76A6"/>
    <w:rsid w:val="003A7CA1"/>
    <w:rsid w:val="003B0EF3"/>
    <w:rsid w:val="003B294B"/>
    <w:rsid w:val="003B3817"/>
    <w:rsid w:val="003B3ECD"/>
    <w:rsid w:val="003B4138"/>
    <w:rsid w:val="003B4A6F"/>
    <w:rsid w:val="003B4AE7"/>
    <w:rsid w:val="003B4DB9"/>
    <w:rsid w:val="003B6988"/>
    <w:rsid w:val="003B6FFA"/>
    <w:rsid w:val="003C0786"/>
    <w:rsid w:val="003C07C4"/>
    <w:rsid w:val="003C0A2D"/>
    <w:rsid w:val="003C0F43"/>
    <w:rsid w:val="003C1096"/>
    <w:rsid w:val="003C175F"/>
    <w:rsid w:val="003C1DFC"/>
    <w:rsid w:val="003C3867"/>
    <w:rsid w:val="003C39AB"/>
    <w:rsid w:val="003C3C51"/>
    <w:rsid w:val="003C5964"/>
    <w:rsid w:val="003C7BA7"/>
    <w:rsid w:val="003D0A95"/>
    <w:rsid w:val="003D1C94"/>
    <w:rsid w:val="003D2071"/>
    <w:rsid w:val="003D280B"/>
    <w:rsid w:val="003D385D"/>
    <w:rsid w:val="003D39D3"/>
    <w:rsid w:val="003D3E7A"/>
    <w:rsid w:val="003E05DA"/>
    <w:rsid w:val="003E1191"/>
    <w:rsid w:val="003E15C3"/>
    <w:rsid w:val="003E263D"/>
    <w:rsid w:val="003E2D58"/>
    <w:rsid w:val="003E3C1D"/>
    <w:rsid w:val="003E5293"/>
    <w:rsid w:val="003E52F2"/>
    <w:rsid w:val="003E7C2C"/>
    <w:rsid w:val="003E7D32"/>
    <w:rsid w:val="003E7EEE"/>
    <w:rsid w:val="003F0BBF"/>
    <w:rsid w:val="003F1ED1"/>
    <w:rsid w:val="003F2DAC"/>
    <w:rsid w:val="003F3A10"/>
    <w:rsid w:val="003F525E"/>
    <w:rsid w:val="003F5F92"/>
    <w:rsid w:val="003F7B75"/>
    <w:rsid w:val="004004F4"/>
    <w:rsid w:val="004017E2"/>
    <w:rsid w:val="00401894"/>
    <w:rsid w:val="0040384D"/>
    <w:rsid w:val="00403AFE"/>
    <w:rsid w:val="004052F8"/>
    <w:rsid w:val="004059F9"/>
    <w:rsid w:val="00405C13"/>
    <w:rsid w:val="004071D5"/>
    <w:rsid w:val="004079AA"/>
    <w:rsid w:val="00407D6B"/>
    <w:rsid w:val="00410688"/>
    <w:rsid w:val="004120A8"/>
    <w:rsid w:val="00412BD0"/>
    <w:rsid w:val="00414465"/>
    <w:rsid w:val="004145A5"/>
    <w:rsid w:val="00414F1A"/>
    <w:rsid w:val="004164A3"/>
    <w:rsid w:val="00416637"/>
    <w:rsid w:val="00416EF1"/>
    <w:rsid w:val="00417BAD"/>
    <w:rsid w:val="0042001F"/>
    <w:rsid w:val="00420F73"/>
    <w:rsid w:val="00420F84"/>
    <w:rsid w:val="004223C4"/>
    <w:rsid w:val="00422B87"/>
    <w:rsid w:val="00422E4A"/>
    <w:rsid w:val="00423DA6"/>
    <w:rsid w:val="004242F2"/>
    <w:rsid w:val="004254C0"/>
    <w:rsid w:val="00425B4C"/>
    <w:rsid w:val="00425CCD"/>
    <w:rsid w:val="004262B5"/>
    <w:rsid w:val="00426D99"/>
    <w:rsid w:val="00427404"/>
    <w:rsid w:val="00427650"/>
    <w:rsid w:val="00430120"/>
    <w:rsid w:val="0043114C"/>
    <w:rsid w:val="00431F88"/>
    <w:rsid w:val="00432FE8"/>
    <w:rsid w:val="00433F28"/>
    <w:rsid w:val="0043447E"/>
    <w:rsid w:val="004376D8"/>
    <w:rsid w:val="00441217"/>
    <w:rsid w:val="0044166B"/>
    <w:rsid w:val="00444032"/>
    <w:rsid w:val="004459D2"/>
    <w:rsid w:val="00445DC4"/>
    <w:rsid w:val="0044667F"/>
    <w:rsid w:val="00446BB8"/>
    <w:rsid w:val="00446EA9"/>
    <w:rsid w:val="004477A2"/>
    <w:rsid w:val="004501E6"/>
    <w:rsid w:val="00451DAF"/>
    <w:rsid w:val="00452860"/>
    <w:rsid w:val="00452E0F"/>
    <w:rsid w:val="00453B76"/>
    <w:rsid w:val="004542C3"/>
    <w:rsid w:val="00454431"/>
    <w:rsid w:val="00455730"/>
    <w:rsid w:val="00456471"/>
    <w:rsid w:val="00460F30"/>
    <w:rsid w:val="004612EE"/>
    <w:rsid w:val="00461612"/>
    <w:rsid w:val="00461B03"/>
    <w:rsid w:val="00462851"/>
    <w:rsid w:val="00463D44"/>
    <w:rsid w:val="00464A93"/>
    <w:rsid w:val="00464F97"/>
    <w:rsid w:val="0046549B"/>
    <w:rsid w:val="004658CC"/>
    <w:rsid w:val="00465913"/>
    <w:rsid w:val="00466250"/>
    <w:rsid w:val="00466D46"/>
    <w:rsid w:val="00467603"/>
    <w:rsid w:val="00467FFA"/>
    <w:rsid w:val="00470ABD"/>
    <w:rsid w:val="00470C1E"/>
    <w:rsid w:val="00471DA9"/>
    <w:rsid w:val="00473C2A"/>
    <w:rsid w:val="0047521B"/>
    <w:rsid w:val="0047580C"/>
    <w:rsid w:val="00475EE3"/>
    <w:rsid w:val="00476F7D"/>
    <w:rsid w:val="00477AAC"/>
    <w:rsid w:val="00480518"/>
    <w:rsid w:val="004807A7"/>
    <w:rsid w:val="00480BF2"/>
    <w:rsid w:val="004813ED"/>
    <w:rsid w:val="00482529"/>
    <w:rsid w:val="00483108"/>
    <w:rsid w:val="004832AC"/>
    <w:rsid w:val="004854EA"/>
    <w:rsid w:val="0048650A"/>
    <w:rsid w:val="0048671E"/>
    <w:rsid w:val="00486DCF"/>
    <w:rsid w:val="0048724B"/>
    <w:rsid w:val="0048730B"/>
    <w:rsid w:val="00487C9B"/>
    <w:rsid w:val="00490913"/>
    <w:rsid w:val="00493321"/>
    <w:rsid w:val="004940AB"/>
    <w:rsid w:val="004940FA"/>
    <w:rsid w:val="00494D64"/>
    <w:rsid w:val="004958F6"/>
    <w:rsid w:val="00497618"/>
    <w:rsid w:val="004A18C9"/>
    <w:rsid w:val="004A2881"/>
    <w:rsid w:val="004A350C"/>
    <w:rsid w:val="004A3D98"/>
    <w:rsid w:val="004A415C"/>
    <w:rsid w:val="004A4C69"/>
    <w:rsid w:val="004A4C72"/>
    <w:rsid w:val="004A4D82"/>
    <w:rsid w:val="004A579C"/>
    <w:rsid w:val="004A5B8E"/>
    <w:rsid w:val="004A5E5B"/>
    <w:rsid w:val="004A66DC"/>
    <w:rsid w:val="004A7E7C"/>
    <w:rsid w:val="004B0938"/>
    <w:rsid w:val="004B171A"/>
    <w:rsid w:val="004B2C94"/>
    <w:rsid w:val="004B3F68"/>
    <w:rsid w:val="004B4903"/>
    <w:rsid w:val="004B4AF0"/>
    <w:rsid w:val="004B63A1"/>
    <w:rsid w:val="004B6494"/>
    <w:rsid w:val="004B6B82"/>
    <w:rsid w:val="004B7AC9"/>
    <w:rsid w:val="004C0804"/>
    <w:rsid w:val="004C0E9B"/>
    <w:rsid w:val="004C268C"/>
    <w:rsid w:val="004C2999"/>
    <w:rsid w:val="004C2D6F"/>
    <w:rsid w:val="004C5BD4"/>
    <w:rsid w:val="004C5D96"/>
    <w:rsid w:val="004C6C1F"/>
    <w:rsid w:val="004C72D8"/>
    <w:rsid w:val="004C7C08"/>
    <w:rsid w:val="004C7EE2"/>
    <w:rsid w:val="004D1DEA"/>
    <w:rsid w:val="004D32C3"/>
    <w:rsid w:val="004D38BF"/>
    <w:rsid w:val="004D4957"/>
    <w:rsid w:val="004D5069"/>
    <w:rsid w:val="004D5D40"/>
    <w:rsid w:val="004D5F4B"/>
    <w:rsid w:val="004D618C"/>
    <w:rsid w:val="004D6D5D"/>
    <w:rsid w:val="004D72E6"/>
    <w:rsid w:val="004D79BC"/>
    <w:rsid w:val="004E26BF"/>
    <w:rsid w:val="004E364D"/>
    <w:rsid w:val="004E3D08"/>
    <w:rsid w:val="004E558E"/>
    <w:rsid w:val="004E5CFC"/>
    <w:rsid w:val="004E6B58"/>
    <w:rsid w:val="004E7A65"/>
    <w:rsid w:val="004E7F1F"/>
    <w:rsid w:val="004F15DB"/>
    <w:rsid w:val="004F1C55"/>
    <w:rsid w:val="004F1D81"/>
    <w:rsid w:val="004F1DD9"/>
    <w:rsid w:val="004F4A4E"/>
    <w:rsid w:val="004F4AD5"/>
    <w:rsid w:val="004F6E06"/>
    <w:rsid w:val="004F7A77"/>
    <w:rsid w:val="00500A00"/>
    <w:rsid w:val="0050213E"/>
    <w:rsid w:val="0050236A"/>
    <w:rsid w:val="0050238B"/>
    <w:rsid w:val="00502481"/>
    <w:rsid w:val="00502B5E"/>
    <w:rsid w:val="00502FDA"/>
    <w:rsid w:val="005035BB"/>
    <w:rsid w:val="00504005"/>
    <w:rsid w:val="00505603"/>
    <w:rsid w:val="005057DB"/>
    <w:rsid w:val="00507D3A"/>
    <w:rsid w:val="005104C7"/>
    <w:rsid w:val="00510886"/>
    <w:rsid w:val="00510C34"/>
    <w:rsid w:val="0051129C"/>
    <w:rsid w:val="00513511"/>
    <w:rsid w:val="0051362F"/>
    <w:rsid w:val="00513631"/>
    <w:rsid w:val="00514959"/>
    <w:rsid w:val="00516530"/>
    <w:rsid w:val="005167E3"/>
    <w:rsid w:val="00516F49"/>
    <w:rsid w:val="00517021"/>
    <w:rsid w:val="005171BF"/>
    <w:rsid w:val="005206C2"/>
    <w:rsid w:val="005211C6"/>
    <w:rsid w:val="00521BD7"/>
    <w:rsid w:val="005221C3"/>
    <w:rsid w:val="00522663"/>
    <w:rsid w:val="00522860"/>
    <w:rsid w:val="005234DC"/>
    <w:rsid w:val="00523CC6"/>
    <w:rsid w:val="005241D2"/>
    <w:rsid w:val="00524EAD"/>
    <w:rsid w:val="00525230"/>
    <w:rsid w:val="00525A9D"/>
    <w:rsid w:val="0052697B"/>
    <w:rsid w:val="00526FBD"/>
    <w:rsid w:val="0053028E"/>
    <w:rsid w:val="005309B2"/>
    <w:rsid w:val="00530FA2"/>
    <w:rsid w:val="00531E18"/>
    <w:rsid w:val="00533A29"/>
    <w:rsid w:val="00534099"/>
    <w:rsid w:val="0053494E"/>
    <w:rsid w:val="005357B2"/>
    <w:rsid w:val="00536212"/>
    <w:rsid w:val="0053639C"/>
    <w:rsid w:val="00536DD2"/>
    <w:rsid w:val="0053773D"/>
    <w:rsid w:val="00537E0B"/>
    <w:rsid w:val="0054134D"/>
    <w:rsid w:val="00541A83"/>
    <w:rsid w:val="00542466"/>
    <w:rsid w:val="005426C0"/>
    <w:rsid w:val="00542750"/>
    <w:rsid w:val="0054415E"/>
    <w:rsid w:val="00544726"/>
    <w:rsid w:val="00544790"/>
    <w:rsid w:val="0054537D"/>
    <w:rsid w:val="005461EF"/>
    <w:rsid w:val="00546AE2"/>
    <w:rsid w:val="0054720A"/>
    <w:rsid w:val="005472C8"/>
    <w:rsid w:val="00550621"/>
    <w:rsid w:val="00550CDA"/>
    <w:rsid w:val="00551966"/>
    <w:rsid w:val="005529C6"/>
    <w:rsid w:val="00553973"/>
    <w:rsid w:val="00556083"/>
    <w:rsid w:val="005562A2"/>
    <w:rsid w:val="00556AB6"/>
    <w:rsid w:val="005607C7"/>
    <w:rsid w:val="005613F3"/>
    <w:rsid w:val="00561475"/>
    <w:rsid w:val="00561883"/>
    <w:rsid w:val="0056279E"/>
    <w:rsid w:val="005642F3"/>
    <w:rsid w:val="00564546"/>
    <w:rsid w:val="00564856"/>
    <w:rsid w:val="00566286"/>
    <w:rsid w:val="005663B6"/>
    <w:rsid w:val="0056690C"/>
    <w:rsid w:val="00566C9E"/>
    <w:rsid w:val="005672BF"/>
    <w:rsid w:val="00570E5D"/>
    <w:rsid w:val="00571808"/>
    <w:rsid w:val="005728C2"/>
    <w:rsid w:val="00573044"/>
    <w:rsid w:val="00573F5A"/>
    <w:rsid w:val="0057443A"/>
    <w:rsid w:val="00574ECD"/>
    <w:rsid w:val="00574F1C"/>
    <w:rsid w:val="005751E2"/>
    <w:rsid w:val="00575965"/>
    <w:rsid w:val="00575A07"/>
    <w:rsid w:val="00575E17"/>
    <w:rsid w:val="00577F70"/>
    <w:rsid w:val="00580274"/>
    <w:rsid w:val="00580693"/>
    <w:rsid w:val="005826D7"/>
    <w:rsid w:val="0058272C"/>
    <w:rsid w:val="00582833"/>
    <w:rsid w:val="00582A8A"/>
    <w:rsid w:val="00583BE0"/>
    <w:rsid w:val="00584B14"/>
    <w:rsid w:val="005870B1"/>
    <w:rsid w:val="00587EFB"/>
    <w:rsid w:val="005901CE"/>
    <w:rsid w:val="00591508"/>
    <w:rsid w:val="00592345"/>
    <w:rsid w:val="0059316B"/>
    <w:rsid w:val="00595BDC"/>
    <w:rsid w:val="00595C50"/>
    <w:rsid w:val="00597271"/>
    <w:rsid w:val="00597440"/>
    <w:rsid w:val="005974A8"/>
    <w:rsid w:val="005A09A4"/>
    <w:rsid w:val="005A0B06"/>
    <w:rsid w:val="005A208B"/>
    <w:rsid w:val="005A28F7"/>
    <w:rsid w:val="005A38DE"/>
    <w:rsid w:val="005A41A4"/>
    <w:rsid w:val="005A4792"/>
    <w:rsid w:val="005A4EEC"/>
    <w:rsid w:val="005A518A"/>
    <w:rsid w:val="005A5622"/>
    <w:rsid w:val="005A6081"/>
    <w:rsid w:val="005A6B07"/>
    <w:rsid w:val="005B0DD4"/>
    <w:rsid w:val="005B2ADD"/>
    <w:rsid w:val="005B3552"/>
    <w:rsid w:val="005B55BE"/>
    <w:rsid w:val="005B6202"/>
    <w:rsid w:val="005B6735"/>
    <w:rsid w:val="005B6AF3"/>
    <w:rsid w:val="005B7FFE"/>
    <w:rsid w:val="005C01CC"/>
    <w:rsid w:val="005C09FB"/>
    <w:rsid w:val="005C0AFA"/>
    <w:rsid w:val="005C168F"/>
    <w:rsid w:val="005C19BE"/>
    <w:rsid w:val="005C3D9C"/>
    <w:rsid w:val="005C4607"/>
    <w:rsid w:val="005C5D19"/>
    <w:rsid w:val="005C6209"/>
    <w:rsid w:val="005C6D9B"/>
    <w:rsid w:val="005C7B6E"/>
    <w:rsid w:val="005C7E7B"/>
    <w:rsid w:val="005D0052"/>
    <w:rsid w:val="005D065F"/>
    <w:rsid w:val="005D1549"/>
    <w:rsid w:val="005D179C"/>
    <w:rsid w:val="005D19ED"/>
    <w:rsid w:val="005D2C0B"/>
    <w:rsid w:val="005D3AC2"/>
    <w:rsid w:val="005D4870"/>
    <w:rsid w:val="005D4880"/>
    <w:rsid w:val="005D4FA1"/>
    <w:rsid w:val="005D60F5"/>
    <w:rsid w:val="005D650D"/>
    <w:rsid w:val="005D6A91"/>
    <w:rsid w:val="005D7D7F"/>
    <w:rsid w:val="005E2088"/>
    <w:rsid w:val="005E255B"/>
    <w:rsid w:val="005E286E"/>
    <w:rsid w:val="005E37C8"/>
    <w:rsid w:val="005E3C9D"/>
    <w:rsid w:val="005E6689"/>
    <w:rsid w:val="005E7BD3"/>
    <w:rsid w:val="005E7BF7"/>
    <w:rsid w:val="005E7EDD"/>
    <w:rsid w:val="005F0CF2"/>
    <w:rsid w:val="005F13CA"/>
    <w:rsid w:val="005F233E"/>
    <w:rsid w:val="005F263C"/>
    <w:rsid w:val="005F2C8C"/>
    <w:rsid w:val="005F3D48"/>
    <w:rsid w:val="005F42D0"/>
    <w:rsid w:val="005F4BBE"/>
    <w:rsid w:val="005F5330"/>
    <w:rsid w:val="005F597D"/>
    <w:rsid w:val="005F65F3"/>
    <w:rsid w:val="005F671E"/>
    <w:rsid w:val="006000BB"/>
    <w:rsid w:val="00600368"/>
    <w:rsid w:val="00600ED2"/>
    <w:rsid w:val="00600FA4"/>
    <w:rsid w:val="00603009"/>
    <w:rsid w:val="00603015"/>
    <w:rsid w:val="00603ACD"/>
    <w:rsid w:val="0060456B"/>
    <w:rsid w:val="00604823"/>
    <w:rsid w:val="0060486E"/>
    <w:rsid w:val="006057D6"/>
    <w:rsid w:val="0060584E"/>
    <w:rsid w:val="006070F5"/>
    <w:rsid w:val="006072F4"/>
    <w:rsid w:val="00607BA6"/>
    <w:rsid w:val="006106BB"/>
    <w:rsid w:val="0061088A"/>
    <w:rsid w:val="00610EDB"/>
    <w:rsid w:val="0061152B"/>
    <w:rsid w:val="00611B97"/>
    <w:rsid w:val="0061209D"/>
    <w:rsid w:val="00612839"/>
    <w:rsid w:val="00612DA0"/>
    <w:rsid w:val="00615681"/>
    <w:rsid w:val="00615E23"/>
    <w:rsid w:val="006161A6"/>
    <w:rsid w:val="00616544"/>
    <w:rsid w:val="00616D15"/>
    <w:rsid w:val="00616E22"/>
    <w:rsid w:val="0061771D"/>
    <w:rsid w:val="00617E80"/>
    <w:rsid w:val="0062029E"/>
    <w:rsid w:val="006223DD"/>
    <w:rsid w:val="00622771"/>
    <w:rsid w:val="00622BCF"/>
    <w:rsid w:val="00622DEB"/>
    <w:rsid w:val="00623ED0"/>
    <w:rsid w:val="006242CA"/>
    <w:rsid w:val="006256BC"/>
    <w:rsid w:val="00625AA1"/>
    <w:rsid w:val="00626322"/>
    <w:rsid w:val="006266E6"/>
    <w:rsid w:val="00626D59"/>
    <w:rsid w:val="00627D2E"/>
    <w:rsid w:val="00630580"/>
    <w:rsid w:val="00630B14"/>
    <w:rsid w:val="00630DA8"/>
    <w:rsid w:val="00631137"/>
    <w:rsid w:val="00631E89"/>
    <w:rsid w:val="00632198"/>
    <w:rsid w:val="00632351"/>
    <w:rsid w:val="00632E6A"/>
    <w:rsid w:val="00633776"/>
    <w:rsid w:val="00634917"/>
    <w:rsid w:val="00634B0F"/>
    <w:rsid w:val="00634C4F"/>
    <w:rsid w:val="00634CB5"/>
    <w:rsid w:val="00635006"/>
    <w:rsid w:val="0063545C"/>
    <w:rsid w:val="0063591C"/>
    <w:rsid w:val="006400A5"/>
    <w:rsid w:val="006408BB"/>
    <w:rsid w:val="0064209E"/>
    <w:rsid w:val="00642301"/>
    <w:rsid w:val="00643A05"/>
    <w:rsid w:val="00643B63"/>
    <w:rsid w:val="00643EEF"/>
    <w:rsid w:val="00644037"/>
    <w:rsid w:val="00644C27"/>
    <w:rsid w:val="00645730"/>
    <w:rsid w:val="00645F82"/>
    <w:rsid w:val="0064639C"/>
    <w:rsid w:val="00646C8F"/>
    <w:rsid w:val="0064714B"/>
    <w:rsid w:val="0065090C"/>
    <w:rsid w:val="00651321"/>
    <w:rsid w:val="00651D4F"/>
    <w:rsid w:val="006529FD"/>
    <w:rsid w:val="00653EF9"/>
    <w:rsid w:val="0065411F"/>
    <w:rsid w:val="00654E9C"/>
    <w:rsid w:val="006552F7"/>
    <w:rsid w:val="00655B64"/>
    <w:rsid w:val="00656DE2"/>
    <w:rsid w:val="00661FE5"/>
    <w:rsid w:val="00662472"/>
    <w:rsid w:val="00662725"/>
    <w:rsid w:val="0066355C"/>
    <w:rsid w:val="006637DD"/>
    <w:rsid w:val="00663DA6"/>
    <w:rsid w:val="0066419D"/>
    <w:rsid w:val="00666A70"/>
    <w:rsid w:val="00667B4F"/>
    <w:rsid w:val="00670D94"/>
    <w:rsid w:val="00671014"/>
    <w:rsid w:val="00671224"/>
    <w:rsid w:val="00672221"/>
    <w:rsid w:val="0067284F"/>
    <w:rsid w:val="00674200"/>
    <w:rsid w:val="0067426A"/>
    <w:rsid w:val="006742B6"/>
    <w:rsid w:val="006748C8"/>
    <w:rsid w:val="00675C32"/>
    <w:rsid w:val="00677153"/>
    <w:rsid w:val="0068172F"/>
    <w:rsid w:val="00681847"/>
    <w:rsid w:val="006835A7"/>
    <w:rsid w:val="00683BCC"/>
    <w:rsid w:val="00683DB9"/>
    <w:rsid w:val="00683ED0"/>
    <w:rsid w:val="0068482F"/>
    <w:rsid w:val="0068511F"/>
    <w:rsid w:val="006855FE"/>
    <w:rsid w:val="006859E1"/>
    <w:rsid w:val="00685ABB"/>
    <w:rsid w:val="006860C3"/>
    <w:rsid w:val="006865B7"/>
    <w:rsid w:val="00686D7B"/>
    <w:rsid w:val="006900E8"/>
    <w:rsid w:val="00690975"/>
    <w:rsid w:val="00692006"/>
    <w:rsid w:val="006920A4"/>
    <w:rsid w:val="00692158"/>
    <w:rsid w:val="006929D6"/>
    <w:rsid w:val="00692D33"/>
    <w:rsid w:val="006930E2"/>
    <w:rsid w:val="0069709B"/>
    <w:rsid w:val="006972EC"/>
    <w:rsid w:val="00697B4E"/>
    <w:rsid w:val="006A24CA"/>
    <w:rsid w:val="006A2CA4"/>
    <w:rsid w:val="006A3613"/>
    <w:rsid w:val="006A3D00"/>
    <w:rsid w:val="006A3DCE"/>
    <w:rsid w:val="006A59CA"/>
    <w:rsid w:val="006A6CA9"/>
    <w:rsid w:val="006A6CF0"/>
    <w:rsid w:val="006A79E1"/>
    <w:rsid w:val="006A7F0F"/>
    <w:rsid w:val="006B005E"/>
    <w:rsid w:val="006B1F7A"/>
    <w:rsid w:val="006B2336"/>
    <w:rsid w:val="006B24D9"/>
    <w:rsid w:val="006B513E"/>
    <w:rsid w:val="006B53E0"/>
    <w:rsid w:val="006B54B6"/>
    <w:rsid w:val="006B586D"/>
    <w:rsid w:val="006B5EC8"/>
    <w:rsid w:val="006B646B"/>
    <w:rsid w:val="006B6644"/>
    <w:rsid w:val="006B689B"/>
    <w:rsid w:val="006B6E76"/>
    <w:rsid w:val="006B79B7"/>
    <w:rsid w:val="006B7E6C"/>
    <w:rsid w:val="006C04DC"/>
    <w:rsid w:val="006C11F7"/>
    <w:rsid w:val="006C1EEA"/>
    <w:rsid w:val="006C3D9D"/>
    <w:rsid w:val="006C43B6"/>
    <w:rsid w:val="006C5C82"/>
    <w:rsid w:val="006C6590"/>
    <w:rsid w:val="006C6D9A"/>
    <w:rsid w:val="006C6F93"/>
    <w:rsid w:val="006C7909"/>
    <w:rsid w:val="006D02E0"/>
    <w:rsid w:val="006D0438"/>
    <w:rsid w:val="006D1704"/>
    <w:rsid w:val="006D18C1"/>
    <w:rsid w:val="006D246D"/>
    <w:rsid w:val="006D739F"/>
    <w:rsid w:val="006D7490"/>
    <w:rsid w:val="006D7CE6"/>
    <w:rsid w:val="006E0A3C"/>
    <w:rsid w:val="006E3B4F"/>
    <w:rsid w:val="006E4E31"/>
    <w:rsid w:val="006E5043"/>
    <w:rsid w:val="006E5A53"/>
    <w:rsid w:val="006E62AB"/>
    <w:rsid w:val="006F039D"/>
    <w:rsid w:val="006F1542"/>
    <w:rsid w:val="006F15DC"/>
    <w:rsid w:val="006F25F7"/>
    <w:rsid w:val="006F32DC"/>
    <w:rsid w:val="006F366A"/>
    <w:rsid w:val="006F36DB"/>
    <w:rsid w:val="006F3D30"/>
    <w:rsid w:val="006F4432"/>
    <w:rsid w:val="006F4BBD"/>
    <w:rsid w:val="006F5614"/>
    <w:rsid w:val="006F579F"/>
    <w:rsid w:val="006F635E"/>
    <w:rsid w:val="006F6FF2"/>
    <w:rsid w:val="006F7BA4"/>
    <w:rsid w:val="0070027D"/>
    <w:rsid w:val="007003B9"/>
    <w:rsid w:val="0070068C"/>
    <w:rsid w:val="0070100F"/>
    <w:rsid w:val="007025DF"/>
    <w:rsid w:val="0070288C"/>
    <w:rsid w:val="0070311E"/>
    <w:rsid w:val="0070336F"/>
    <w:rsid w:val="0070349A"/>
    <w:rsid w:val="007057F1"/>
    <w:rsid w:val="00705B00"/>
    <w:rsid w:val="00706061"/>
    <w:rsid w:val="007067B4"/>
    <w:rsid w:val="00706AFF"/>
    <w:rsid w:val="00707698"/>
    <w:rsid w:val="00707C05"/>
    <w:rsid w:val="00710136"/>
    <w:rsid w:val="007103AE"/>
    <w:rsid w:val="007104C4"/>
    <w:rsid w:val="0071117C"/>
    <w:rsid w:val="007117CE"/>
    <w:rsid w:val="00712037"/>
    <w:rsid w:val="007126CC"/>
    <w:rsid w:val="00713B3B"/>
    <w:rsid w:val="007147C3"/>
    <w:rsid w:val="00716E0F"/>
    <w:rsid w:val="00720C24"/>
    <w:rsid w:val="00721D9B"/>
    <w:rsid w:val="00722BE9"/>
    <w:rsid w:val="00723036"/>
    <w:rsid w:val="00723B0E"/>
    <w:rsid w:val="00724B57"/>
    <w:rsid w:val="007252BD"/>
    <w:rsid w:val="007255EF"/>
    <w:rsid w:val="00726AA0"/>
    <w:rsid w:val="007275D9"/>
    <w:rsid w:val="00727A89"/>
    <w:rsid w:val="00730882"/>
    <w:rsid w:val="00732127"/>
    <w:rsid w:val="00732434"/>
    <w:rsid w:val="00732772"/>
    <w:rsid w:val="007328D9"/>
    <w:rsid w:val="007335C6"/>
    <w:rsid w:val="00733AB1"/>
    <w:rsid w:val="00733F96"/>
    <w:rsid w:val="007344BF"/>
    <w:rsid w:val="00734665"/>
    <w:rsid w:val="007346C8"/>
    <w:rsid w:val="007353D9"/>
    <w:rsid w:val="007355E2"/>
    <w:rsid w:val="0073573B"/>
    <w:rsid w:val="007361CE"/>
    <w:rsid w:val="0073650A"/>
    <w:rsid w:val="0073677B"/>
    <w:rsid w:val="00736F26"/>
    <w:rsid w:val="00737B6D"/>
    <w:rsid w:val="00740127"/>
    <w:rsid w:val="0074170B"/>
    <w:rsid w:val="0074237C"/>
    <w:rsid w:val="00742E7E"/>
    <w:rsid w:val="00743765"/>
    <w:rsid w:val="007438F4"/>
    <w:rsid w:val="00745E63"/>
    <w:rsid w:val="00746421"/>
    <w:rsid w:val="00746475"/>
    <w:rsid w:val="007469C6"/>
    <w:rsid w:val="00747952"/>
    <w:rsid w:val="00751297"/>
    <w:rsid w:val="00752C67"/>
    <w:rsid w:val="00752CED"/>
    <w:rsid w:val="00752F38"/>
    <w:rsid w:val="00753760"/>
    <w:rsid w:val="0075389A"/>
    <w:rsid w:val="00754F27"/>
    <w:rsid w:val="0075622D"/>
    <w:rsid w:val="00756FC6"/>
    <w:rsid w:val="00757654"/>
    <w:rsid w:val="00757800"/>
    <w:rsid w:val="00760379"/>
    <w:rsid w:val="00760D7B"/>
    <w:rsid w:val="00761298"/>
    <w:rsid w:val="00762AB2"/>
    <w:rsid w:val="00763ECD"/>
    <w:rsid w:val="00763FCC"/>
    <w:rsid w:val="00764183"/>
    <w:rsid w:val="0076474E"/>
    <w:rsid w:val="007649B2"/>
    <w:rsid w:val="00765CB6"/>
    <w:rsid w:val="00766BE7"/>
    <w:rsid w:val="00767F33"/>
    <w:rsid w:val="007704BD"/>
    <w:rsid w:val="00771501"/>
    <w:rsid w:val="0077228C"/>
    <w:rsid w:val="007729C0"/>
    <w:rsid w:val="007741D9"/>
    <w:rsid w:val="00774976"/>
    <w:rsid w:val="007756C1"/>
    <w:rsid w:val="00775849"/>
    <w:rsid w:val="00776CEC"/>
    <w:rsid w:val="00777A5E"/>
    <w:rsid w:val="00780096"/>
    <w:rsid w:val="00780660"/>
    <w:rsid w:val="007810CA"/>
    <w:rsid w:val="007817E1"/>
    <w:rsid w:val="00781C6E"/>
    <w:rsid w:val="00781FD4"/>
    <w:rsid w:val="00783752"/>
    <w:rsid w:val="007847D9"/>
    <w:rsid w:val="00786DCD"/>
    <w:rsid w:val="00787765"/>
    <w:rsid w:val="00791612"/>
    <w:rsid w:val="00791789"/>
    <w:rsid w:val="00791984"/>
    <w:rsid w:val="0079259A"/>
    <w:rsid w:val="007925AB"/>
    <w:rsid w:val="007929CA"/>
    <w:rsid w:val="00795903"/>
    <w:rsid w:val="0079591E"/>
    <w:rsid w:val="00795929"/>
    <w:rsid w:val="0079640F"/>
    <w:rsid w:val="00796A98"/>
    <w:rsid w:val="007976D1"/>
    <w:rsid w:val="007A03D4"/>
    <w:rsid w:val="007A1F28"/>
    <w:rsid w:val="007A28B1"/>
    <w:rsid w:val="007A3352"/>
    <w:rsid w:val="007A39F5"/>
    <w:rsid w:val="007A403E"/>
    <w:rsid w:val="007A528D"/>
    <w:rsid w:val="007A54B6"/>
    <w:rsid w:val="007A5EEE"/>
    <w:rsid w:val="007A6DC9"/>
    <w:rsid w:val="007A70AE"/>
    <w:rsid w:val="007A751E"/>
    <w:rsid w:val="007A7A02"/>
    <w:rsid w:val="007A7FE1"/>
    <w:rsid w:val="007B06E2"/>
    <w:rsid w:val="007B2AD0"/>
    <w:rsid w:val="007B2B66"/>
    <w:rsid w:val="007B2C3F"/>
    <w:rsid w:val="007B3D53"/>
    <w:rsid w:val="007B4195"/>
    <w:rsid w:val="007B4320"/>
    <w:rsid w:val="007B5879"/>
    <w:rsid w:val="007B5FAF"/>
    <w:rsid w:val="007B6AE8"/>
    <w:rsid w:val="007C0670"/>
    <w:rsid w:val="007C0CC7"/>
    <w:rsid w:val="007C1D26"/>
    <w:rsid w:val="007C2F01"/>
    <w:rsid w:val="007C321B"/>
    <w:rsid w:val="007C40C4"/>
    <w:rsid w:val="007C4D64"/>
    <w:rsid w:val="007C5743"/>
    <w:rsid w:val="007C5FA3"/>
    <w:rsid w:val="007C5FB6"/>
    <w:rsid w:val="007C61ED"/>
    <w:rsid w:val="007C6DDB"/>
    <w:rsid w:val="007C6FC0"/>
    <w:rsid w:val="007C71ED"/>
    <w:rsid w:val="007C7923"/>
    <w:rsid w:val="007C7D6C"/>
    <w:rsid w:val="007D06FE"/>
    <w:rsid w:val="007D1BD6"/>
    <w:rsid w:val="007D1FBB"/>
    <w:rsid w:val="007D2DC1"/>
    <w:rsid w:val="007D3ED1"/>
    <w:rsid w:val="007D5DB0"/>
    <w:rsid w:val="007D6173"/>
    <w:rsid w:val="007D6280"/>
    <w:rsid w:val="007E155C"/>
    <w:rsid w:val="007E169C"/>
    <w:rsid w:val="007E2F0C"/>
    <w:rsid w:val="007E30C6"/>
    <w:rsid w:val="007E4262"/>
    <w:rsid w:val="007E47C5"/>
    <w:rsid w:val="007E4DE1"/>
    <w:rsid w:val="007E5E79"/>
    <w:rsid w:val="007E62F4"/>
    <w:rsid w:val="007E71CF"/>
    <w:rsid w:val="007E7E19"/>
    <w:rsid w:val="007F0027"/>
    <w:rsid w:val="007F0F6F"/>
    <w:rsid w:val="007F1784"/>
    <w:rsid w:val="007F1F5C"/>
    <w:rsid w:val="007F272A"/>
    <w:rsid w:val="007F4822"/>
    <w:rsid w:val="007F4C04"/>
    <w:rsid w:val="007F653E"/>
    <w:rsid w:val="007F72A2"/>
    <w:rsid w:val="0080060B"/>
    <w:rsid w:val="008015CB"/>
    <w:rsid w:val="0080279D"/>
    <w:rsid w:val="0080292B"/>
    <w:rsid w:val="0080330D"/>
    <w:rsid w:val="00803EA0"/>
    <w:rsid w:val="008041CC"/>
    <w:rsid w:val="00804747"/>
    <w:rsid w:val="008064FD"/>
    <w:rsid w:val="00806758"/>
    <w:rsid w:val="00806CEE"/>
    <w:rsid w:val="00807D1A"/>
    <w:rsid w:val="00807FDF"/>
    <w:rsid w:val="008102DC"/>
    <w:rsid w:val="00810683"/>
    <w:rsid w:val="00810950"/>
    <w:rsid w:val="008111DA"/>
    <w:rsid w:val="00812895"/>
    <w:rsid w:val="00814FFE"/>
    <w:rsid w:val="008158C0"/>
    <w:rsid w:val="00815D2A"/>
    <w:rsid w:val="00816881"/>
    <w:rsid w:val="00820474"/>
    <w:rsid w:val="00820780"/>
    <w:rsid w:val="00820ABB"/>
    <w:rsid w:val="00821336"/>
    <w:rsid w:val="00822B88"/>
    <w:rsid w:val="008232EB"/>
    <w:rsid w:val="008233CE"/>
    <w:rsid w:val="00824283"/>
    <w:rsid w:val="00824339"/>
    <w:rsid w:val="0082466C"/>
    <w:rsid w:val="00824BCE"/>
    <w:rsid w:val="00824ECD"/>
    <w:rsid w:val="00827209"/>
    <w:rsid w:val="00827473"/>
    <w:rsid w:val="00830C0D"/>
    <w:rsid w:val="008332A5"/>
    <w:rsid w:val="00836D58"/>
    <w:rsid w:val="00837087"/>
    <w:rsid w:val="008403B1"/>
    <w:rsid w:val="00841740"/>
    <w:rsid w:val="00841867"/>
    <w:rsid w:val="008428F1"/>
    <w:rsid w:val="00842998"/>
    <w:rsid w:val="0084322C"/>
    <w:rsid w:val="0084363F"/>
    <w:rsid w:val="008437CF"/>
    <w:rsid w:val="00843937"/>
    <w:rsid w:val="00844020"/>
    <w:rsid w:val="0084432D"/>
    <w:rsid w:val="0084475A"/>
    <w:rsid w:val="00845550"/>
    <w:rsid w:val="008461C6"/>
    <w:rsid w:val="00846B20"/>
    <w:rsid w:val="00846C33"/>
    <w:rsid w:val="00847672"/>
    <w:rsid w:val="00847A58"/>
    <w:rsid w:val="00850104"/>
    <w:rsid w:val="008502F6"/>
    <w:rsid w:val="00850C01"/>
    <w:rsid w:val="00851B4C"/>
    <w:rsid w:val="00851C49"/>
    <w:rsid w:val="00852807"/>
    <w:rsid w:val="00853F0E"/>
    <w:rsid w:val="0085597C"/>
    <w:rsid w:val="00856F78"/>
    <w:rsid w:val="00860E71"/>
    <w:rsid w:val="00861237"/>
    <w:rsid w:val="0086180C"/>
    <w:rsid w:val="00861B9E"/>
    <w:rsid w:val="00862A2E"/>
    <w:rsid w:val="008634BB"/>
    <w:rsid w:val="00865A3B"/>
    <w:rsid w:val="00865AF4"/>
    <w:rsid w:val="00866D61"/>
    <w:rsid w:val="00867102"/>
    <w:rsid w:val="0086727C"/>
    <w:rsid w:val="0087040A"/>
    <w:rsid w:val="00871747"/>
    <w:rsid w:val="00872321"/>
    <w:rsid w:val="00872EEA"/>
    <w:rsid w:val="00873A6D"/>
    <w:rsid w:val="00873CB9"/>
    <w:rsid w:val="008747E9"/>
    <w:rsid w:val="00874B73"/>
    <w:rsid w:val="00874EA8"/>
    <w:rsid w:val="00875599"/>
    <w:rsid w:val="00875CFA"/>
    <w:rsid w:val="00880200"/>
    <w:rsid w:val="0088042A"/>
    <w:rsid w:val="00881E24"/>
    <w:rsid w:val="008827B0"/>
    <w:rsid w:val="008827B1"/>
    <w:rsid w:val="00884E7D"/>
    <w:rsid w:val="0088524D"/>
    <w:rsid w:val="0088546A"/>
    <w:rsid w:val="0088645E"/>
    <w:rsid w:val="008901F5"/>
    <w:rsid w:val="00890DA0"/>
    <w:rsid w:val="008916E0"/>
    <w:rsid w:val="008918B5"/>
    <w:rsid w:val="008919B3"/>
    <w:rsid w:val="00892962"/>
    <w:rsid w:val="0089306A"/>
    <w:rsid w:val="008958C4"/>
    <w:rsid w:val="00895DE4"/>
    <w:rsid w:val="00896062"/>
    <w:rsid w:val="00896368"/>
    <w:rsid w:val="00896C90"/>
    <w:rsid w:val="00897C9E"/>
    <w:rsid w:val="008A056A"/>
    <w:rsid w:val="008A0791"/>
    <w:rsid w:val="008A11DD"/>
    <w:rsid w:val="008A2936"/>
    <w:rsid w:val="008A2BF9"/>
    <w:rsid w:val="008A3987"/>
    <w:rsid w:val="008A556C"/>
    <w:rsid w:val="008A5927"/>
    <w:rsid w:val="008A59D6"/>
    <w:rsid w:val="008A60A0"/>
    <w:rsid w:val="008A6A0E"/>
    <w:rsid w:val="008A7129"/>
    <w:rsid w:val="008A7F43"/>
    <w:rsid w:val="008B00BD"/>
    <w:rsid w:val="008B269A"/>
    <w:rsid w:val="008B2C50"/>
    <w:rsid w:val="008B47CB"/>
    <w:rsid w:val="008B498C"/>
    <w:rsid w:val="008B5F50"/>
    <w:rsid w:val="008B628F"/>
    <w:rsid w:val="008B797C"/>
    <w:rsid w:val="008B7E03"/>
    <w:rsid w:val="008B7EE6"/>
    <w:rsid w:val="008B7F77"/>
    <w:rsid w:val="008C130E"/>
    <w:rsid w:val="008C14BF"/>
    <w:rsid w:val="008C3397"/>
    <w:rsid w:val="008C38A4"/>
    <w:rsid w:val="008C4DE5"/>
    <w:rsid w:val="008D05D9"/>
    <w:rsid w:val="008D0E0A"/>
    <w:rsid w:val="008D1113"/>
    <w:rsid w:val="008D1788"/>
    <w:rsid w:val="008D1E35"/>
    <w:rsid w:val="008D2247"/>
    <w:rsid w:val="008D2624"/>
    <w:rsid w:val="008D271E"/>
    <w:rsid w:val="008D2FFD"/>
    <w:rsid w:val="008D47A1"/>
    <w:rsid w:val="008D4EAF"/>
    <w:rsid w:val="008D6224"/>
    <w:rsid w:val="008D6279"/>
    <w:rsid w:val="008D658D"/>
    <w:rsid w:val="008D6B4E"/>
    <w:rsid w:val="008D7160"/>
    <w:rsid w:val="008E04A7"/>
    <w:rsid w:val="008E1770"/>
    <w:rsid w:val="008E1D8F"/>
    <w:rsid w:val="008E204D"/>
    <w:rsid w:val="008E20DE"/>
    <w:rsid w:val="008E34EE"/>
    <w:rsid w:val="008E35A3"/>
    <w:rsid w:val="008E3F41"/>
    <w:rsid w:val="008E4E11"/>
    <w:rsid w:val="008E7BF7"/>
    <w:rsid w:val="008F2B27"/>
    <w:rsid w:val="008F4A63"/>
    <w:rsid w:val="008F4CA1"/>
    <w:rsid w:val="008F5418"/>
    <w:rsid w:val="008F61A6"/>
    <w:rsid w:val="008F6438"/>
    <w:rsid w:val="008F6FAD"/>
    <w:rsid w:val="008F7661"/>
    <w:rsid w:val="00901064"/>
    <w:rsid w:val="00904361"/>
    <w:rsid w:val="00905CF3"/>
    <w:rsid w:val="0090725D"/>
    <w:rsid w:val="009072DC"/>
    <w:rsid w:val="00907632"/>
    <w:rsid w:val="00907791"/>
    <w:rsid w:val="00910C28"/>
    <w:rsid w:val="00910F88"/>
    <w:rsid w:val="0091106F"/>
    <w:rsid w:val="00911F45"/>
    <w:rsid w:val="0091417C"/>
    <w:rsid w:val="00915F8D"/>
    <w:rsid w:val="0091636C"/>
    <w:rsid w:val="009179EA"/>
    <w:rsid w:val="00917D0A"/>
    <w:rsid w:val="00920369"/>
    <w:rsid w:val="009206F1"/>
    <w:rsid w:val="009212B6"/>
    <w:rsid w:val="009215D3"/>
    <w:rsid w:val="00921721"/>
    <w:rsid w:val="00921A10"/>
    <w:rsid w:val="00921A9C"/>
    <w:rsid w:val="00921E03"/>
    <w:rsid w:val="00922312"/>
    <w:rsid w:val="009241E8"/>
    <w:rsid w:val="00924C8E"/>
    <w:rsid w:val="00924FB4"/>
    <w:rsid w:val="00926BC1"/>
    <w:rsid w:val="00930F0E"/>
    <w:rsid w:val="009312B2"/>
    <w:rsid w:val="009314CD"/>
    <w:rsid w:val="00932453"/>
    <w:rsid w:val="00933C6E"/>
    <w:rsid w:val="00934773"/>
    <w:rsid w:val="0093489A"/>
    <w:rsid w:val="00935AAF"/>
    <w:rsid w:val="00935C17"/>
    <w:rsid w:val="00936224"/>
    <w:rsid w:val="00936832"/>
    <w:rsid w:val="00936BAC"/>
    <w:rsid w:val="00937B00"/>
    <w:rsid w:val="00940095"/>
    <w:rsid w:val="0094028B"/>
    <w:rsid w:val="009423E1"/>
    <w:rsid w:val="009424C4"/>
    <w:rsid w:val="0094368A"/>
    <w:rsid w:val="0094796A"/>
    <w:rsid w:val="00947A7B"/>
    <w:rsid w:val="00950CFE"/>
    <w:rsid w:val="00950DEB"/>
    <w:rsid w:val="009519E9"/>
    <w:rsid w:val="00951F57"/>
    <w:rsid w:val="009532B8"/>
    <w:rsid w:val="00953C29"/>
    <w:rsid w:val="00954084"/>
    <w:rsid w:val="009544FA"/>
    <w:rsid w:val="00954569"/>
    <w:rsid w:val="00954DF7"/>
    <w:rsid w:val="009610C5"/>
    <w:rsid w:val="0096169F"/>
    <w:rsid w:val="009620B8"/>
    <w:rsid w:val="00962851"/>
    <w:rsid w:val="009633CB"/>
    <w:rsid w:val="00964D26"/>
    <w:rsid w:val="00965509"/>
    <w:rsid w:val="009661EA"/>
    <w:rsid w:val="00966230"/>
    <w:rsid w:val="009667D5"/>
    <w:rsid w:val="00966A7B"/>
    <w:rsid w:val="00966C51"/>
    <w:rsid w:val="00966E44"/>
    <w:rsid w:val="009671F0"/>
    <w:rsid w:val="00967AC4"/>
    <w:rsid w:val="009707F3"/>
    <w:rsid w:val="009714EB"/>
    <w:rsid w:val="00971B13"/>
    <w:rsid w:val="0097476E"/>
    <w:rsid w:val="0097512C"/>
    <w:rsid w:val="00975794"/>
    <w:rsid w:val="00975798"/>
    <w:rsid w:val="00976330"/>
    <w:rsid w:val="009807FC"/>
    <w:rsid w:val="00980A77"/>
    <w:rsid w:val="00980B53"/>
    <w:rsid w:val="00981B82"/>
    <w:rsid w:val="0098304D"/>
    <w:rsid w:val="00983DAC"/>
    <w:rsid w:val="00983E68"/>
    <w:rsid w:val="00983E77"/>
    <w:rsid w:val="00983F6C"/>
    <w:rsid w:val="009841B2"/>
    <w:rsid w:val="00984266"/>
    <w:rsid w:val="00984286"/>
    <w:rsid w:val="00985652"/>
    <w:rsid w:val="00990147"/>
    <w:rsid w:val="00991B76"/>
    <w:rsid w:val="00991B87"/>
    <w:rsid w:val="0099368D"/>
    <w:rsid w:val="0099432D"/>
    <w:rsid w:val="00994BF5"/>
    <w:rsid w:val="009952BA"/>
    <w:rsid w:val="00995E6D"/>
    <w:rsid w:val="009979B6"/>
    <w:rsid w:val="00997C03"/>
    <w:rsid w:val="009A11D6"/>
    <w:rsid w:val="009A1F0D"/>
    <w:rsid w:val="009A2DE0"/>
    <w:rsid w:val="009A4E62"/>
    <w:rsid w:val="009A5E70"/>
    <w:rsid w:val="009A691B"/>
    <w:rsid w:val="009A6B8E"/>
    <w:rsid w:val="009A794A"/>
    <w:rsid w:val="009A7A42"/>
    <w:rsid w:val="009A7C73"/>
    <w:rsid w:val="009A7CE5"/>
    <w:rsid w:val="009B0BB0"/>
    <w:rsid w:val="009B1278"/>
    <w:rsid w:val="009B1572"/>
    <w:rsid w:val="009B350C"/>
    <w:rsid w:val="009B3704"/>
    <w:rsid w:val="009B5A38"/>
    <w:rsid w:val="009B7FB1"/>
    <w:rsid w:val="009C008C"/>
    <w:rsid w:val="009C0762"/>
    <w:rsid w:val="009C1079"/>
    <w:rsid w:val="009C1190"/>
    <w:rsid w:val="009C1309"/>
    <w:rsid w:val="009C1DED"/>
    <w:rsid w:val="009C26F4"/>
    <w:rsid w:val="009C3C11"/>
    <w:rsid w:val="009C59A7"/>
    <w:rsid w:val="009C6A8E"/>
    <w:rsid w:val="009C712E"/>
    <w:rsid w:val="009C738C"/>
    <w:rsid w:val="009C7D9E"/>
    <w:rsid w:val="009D0007"/>
    <w:rsid w:val="009D057D"/>
    <w:rsid w:val="009D0626"/>
    <w:rsid w:val="009D0A6C"/>
    <w:rsid w:val="009D1604"/>
    <w:rsid w:val="009D239E"/>
    <w:rsid w:val="009D2C3B"/>
    <w:rsid w:val="009D3035"/>
    <w:rsid w:val="009D3061"/>
    <w:rsid w:val="009D321F"/>
    <w:rsid w:val="009D35F1"/>
    <w:rsid w:val="009D3940"/>
    <w:rsid w:val="009D42EE"/>
    <w:rsid w:val="009D435F"/>
    <w:rsid w:val="009D4F15"/>
    <w:rsid w:val="009D6622"/>
    <w:rsid w:val="009D6E75"/>
    <w:rsid w:val="009D6F26"/>
    <w:rsid w:val="009E0D22"/>
    <w:rsid w:val="009E1182"/>
    <w:rsid w:val="009E199C"/>
    <w:rsid w:val="009E2030"/>
    <w:rsid w:val="009E4646"/>
    <w:rsid w:val="009E49E5"/>
    <w:rsid w:val="009E4AEF"/>
    <w:rsid w:val="009E5EA4"/>
    <w:rsid w:val="009E6895"/>
    <w:rsid w:val="009E6E8E"/>
    <w:rsid w:val="009E767B"/>
    <w:rsid w:val="009F26EF"/>
    <w:rsid w:val="009F313F"/>
    <w:rsid w:val="009F34ED"/>
    <w:rsid w:val="009F6183"/>
    <w:rsid w:val="009F6546"/>
    <w:rsid w:val="009F6B10"/>
    <w:rsid w:val="009F7988"/>
    <w:rsid w:val="00A01CCF"/>
    <w:rsid w:val="00A02021"/>
    <w:rsid w:val="00A0536C"/>
    <w:rsid w:val="00A06AA1"/>
    <w:rsid w:val="00A07509"/>
    <w:rsid w:val="00A1012E"/>
    <w:rsid w:val="00A121D8"/>
    <w:rsid w:val="00A12604"/>
    <w:rsid w:val="00A12F82"/>
    <w:rsid w:val="00A132C2"/>
    <w:rsid w:val="00A1731E"/>
    <w:rsid w:val="00A17E3A"/>
    <w:rsid w:val="00A20598"/>
    <w:rsid w:val="00A209E1"/>
    <w:rsid w:val="00A20FEC"/>
    <w:rsid w:val="00A225CD"/>
    <w:rsid w:val="00A22B93"/>
    <w:rsid w:val="00A23EFC"/>
    <w:rsid w:val="00A24604"/>
    <w:rsid w:val="00A25CED"/>
    <w:rsid w:val="00A262D7"/>
    <w:rsid w:val="00A26A5C"/>
    <w:rsid w:val="00A27A80"/>
    <w:rsid w:val="00A302C4"/>
    <w:rsid w:val="00A320AD"/>
    <w:rsid w:val="00A33CA3"/>
    <w:rsid w:val="00A34512"/>
    <w:rsid w:val="00A35D3E"/>
    <w:rsid w:val="00A361EC"/>
    <w:rsid w:val="00A366A1"/>
    <w:rsid w:val="00A37CA2"/>
    <w:rsid w:val="00A40F94"/>
    <w:rsid w:val="00A41690"/>
    <w:rsid w:val="00A41A78"/>
    <w:rsid w:val="00A41E6A"/>
    <w:rsid w:val="00A42BF0"/>
    <w:rsid w:val="00A43918"/>
    <w:rsid w:val="00A4457F"/>
    <w:rsid w:val="00A476AB"/>
    <w:rsid w:val="00A479B4"/>
    <w:rsid w:val="00A47DD5"/>
    <w:rsid w:val="00A512D0"/>
    <w:rsid w:val="00A5174C"/>
    <w:rsid w:val="00A53966"/>
    <w:rsid w:val="00A55291"/>
    <w:rsid w:val="00A56354"/>
    <w:rsid w:val="00A56915"/>
    <w:rsid w:val="00A56CE3"/>
    <w:rsid w:val="00A607FC"/>
    <w:rsid w:val="00A60A31"/>
    <w:rsid w:val="00A61A6D"/>
    <w:rsid w:val="00A61ED3"/>
    <w:rsid w:val="00A620FC"/>
    <w:rsid w:val="00A62E4B"/>
    <w:rsid w:val="00A62E74"/>
    <w:rsid w:val="00A63544"/>
    <w:rsid w:val="00A63A63"/>
    <w:rsid w:val="00A64750"/>
    <w:rsid w:val="00A6784C"/>
    <w:rsid w:val="00A71515"/>
    <w:rsid w:val="00A72B30"/>
    <w:rsid w:val="00A732EF"/>
    <w:rsid w:val="00A75F3E"/>
    <w:rsid w:val="00A7753F"/>
    <w:rsid w:val="00A80E23"/>
    <w:rsid w:val="00A81407"/>
    <w:rsid w:val="00A816DF"/>
    <w:rsid w:val="00A81827"/>
    <w:rsid w:val="00A81CD9"/>
    <w:rsid w:val="00A8336D"/>
    <w:rsid w:val="00A84E76"/>
    <w:rsid w:val="00A86CF3"/>
    <w:rsid w:val="00A87AB1"/>
    <w:rsid w:val="00A90900"/>
    <w:rsid w:val="00A90EB8"/>
    <w:rsid w:val="00A91401"/>
    <w:rsid w:val="00A92C4E"/>
    <w:rsid w:val="00A94E1D"/>
    <w:rsid w:val="00A95BC1"/>
    <w:rsid w:val="00A961E5"/>
    <w:rsid w:val="00A96DA0"/>
    <w:rsid w:val="00A975E9"/>
    <w:rsid w:val="00A976B0"/>
    <w:rsid w:val="00AA0B48"/>
    <w:rsid w:val="00AA1EE3"/>
    <w:rsid w:val="00AA239E"/>
    <w:rsid w:val="00AA2DCE"/>
    <w:rsid w:val="00AA38EE"/>
    <w:rsid w:val="00AA56DB"/>
    <w:rsid w:val="00AA779F"/>
    <w:rsid w:val="00AA7F68"/>
    <w:rsid w:val="00AB127C"/>
    <w:rsid w:val="00AB146B"/>
    <w:rsid w:val="00AB3048"/>
    <w:rsid w:val="00AB4842"/>
    <w:rsid w:val="00AB4E5A"/>
    <w:rsid w:val="00AB582D"/>
    <w:rsid w:val="00AC12C7"/>
    <w:rsid w:val="00AC1CBF"/>
    <w:rsid w:val="00AC1F9B"/>
    <w:rsid w:val="00AC32FB"/>
    <w:rsid w:val="00AC33AE"/>
    <w:rsid w:val="00AC355E"/>
    <w:rsid w:val="00AC4F77"/>
    <w:rsid w:val="00AC5B8B"/>
    <w:rsid w:val="00AC7082"/>
    <w:rsid w:val="00AC741B"/>
    <w:rsid w:val="00AD0B17"/>
    <w:rsid w:val="00AD1107"/>
    <w:rsid w:val="00AD1239"/>
    <w:rsid w:val="00AD18D4"/>
    <w:rsid w:val="00AD20B6"/>
    <w:rsid w:val="00AD20D1"/>
    <w:rsid w:val="00AD31D6"/>
    <w:rsid w:val="00AD3763"/>
    <w:rsid w:val="00AD464B"/>
    <w:rsid w:val="00AE0689"/>
    <w:rsid w:val="00AE49E8"/>
    <w:rsid w:val="00AE5492"/>
    <w:rsid w:val="00AE55F3"/>
    <w:rsid w:val="00AF0635"/>
    <w:rsid w:val="00AF3406"/>
    <w:rsid w:val="00AF3ACF"/>
    <w:rsid w:val="00AF3BCA"/>
    <w:rsid w:val="00AF411E"/>
    <w:rsid w:val="00AF47C0"/>
    <w:rsid w:val="00AF4A31"/>
    <w:rsid w:val="00AF5828"/>
    <w:rsid w:val="00AF59BD"/>
    <w:rsid w:val="00AF5E4A"/>
    <w:rsid w:val="00B02A79"/>
    <w:rsid w:val="00B03061"/>
    <w:rsid w:val="00B039C1"/>
    <w:rsid w:val="00B03C8B"/>
    <w:rsid w:val="00B059F0"/>
    <w:rsid w:val="00B05D31"/>
    <w:rsid w:val="00B05E41"/>
    <w:rsid w:val="00B07925"/>
    <w:rsid w:val="00B10CDC"/>
    <w:rsid w:val="00B10D4E"/>
    <w:rsid w:val="00B11255"/>
    <w:rsid w:val="00B11BC0"/>
    <w:rsid w:val="00B11C1B"/>
    <w:rsid w:val="00B12E05"/>
    <w:rsid w:val="00B13D3E"/>
    <w:rsid w:val="00B15B98"/>
    <w:rsid w:val="00B16F01"/>
    <w:rsid w:val="00B170AC"/>
    <w:rsid w:val="00B17D82"/>
    <w:rsid w:val="00B21051"/>
    <w:rsid w:val="00B2276B"/>
    <w:rsid w:val="00B22D38"/>
    <w:rsid w:val="00B22F1D"/>
    <w:rsid w:val="00B233DA"/>
    <w:rsid w:val="00B23583"/>
    <w:rsid w:val="00B2364C"/>
    <w:rsid w:val="00B24877"/>
    <w:rsid w:val="00B24EA1"/>
    <w:rsid w:val="00B25A03"/>
    <w:rsid w:val="00B31355"/>
    <w:rsid w:val="00B3274F"/>
    <w:rsid w:val="00B32FB0"/>
    <w:rsid w:val="00B356E8"/>
    <w:rsid w:val="00B35D69"/>
    <w:rsid w:val="00B35E7D"/>
    <w:rsid w:val="00B35ED1"/>
    <w:rsid w:val="00B36921"/>
    <w:rsid w:val="00B3735D"/>
    <w:rsid w:val="00B407BF"/>
    <w:rsid w:val="00B40953"/>
    <w:rsid w:val="00B40CCB"/>
    <w:rsid w:val="00B40CD6"/>
    <w:rsid w:val="00B40DAC"/>
    <w:rsid w:val="00B4152E"/>
    <w:rsid w:val="00B4329A"/>
    <w:rsid w:val="00B45403"/>
    <w:rsid w:val="00B455E3"/>
    <w:rsid w:val="00B461B6"/>
    <w:rsid w:val="00B4646F"/>
    <w:rsid w:val="00B468B7"/>
    <w:rsid w:val="00B47CB3"/>
    <w:rsid w:val="00B47FF3"/>
    <w:rsid w:val="00B5010B"/>
    <w:rsid w:val="00B503A1"/>
    <w:rsid w:val="00B50689"/>
    <w:rsid w:val="00B529C4"/>
    <w:rsid w:val="00B54AB9"/>
    <w:rsid w:val="00B54D4D"/>
    <w:rsid w:val="00B55102"/>
    <w:rsid w:val="00B562A1"/>
    <w:rsid w:val="00B56DA1"/>
    <w:rsid w:val="00B56F49"/>
    <w:rsid w:val="00B602B2"/>
    <w:rsid w:val="00B61E1B"/>
    <w:rsid w:val="00B62335"/>
    <w:rsid w:val="00B62D0F"/>
    <w:rsid w:val="00B6376F"/>
    <w:rsid w:val="00B63CD5"/>
    <w:rsid w:val="00B63D52"/>
    <w:rsid w:val="00B642B5"/>
    <w:rsid w:val="00B65B00"/>
    <w:rsid w:val="00B65F90"/>
    <w:rsid w:val="00B665D4"/>
    <w:rsid w:val="00B67388"/>
    <w:rsid w:val="00B67520"/>
    <w:rsid w:val="00B7011C"/>
    <w:rsid w:val="00B70810"/>
    <w:rsid w:val="00B70814"/>
    <w:rsid w:val="00B70A50"/>
    <w:rsid w:val="00B70F4E"/>
    <w:rsid w:val="00B71198"/>
    <w:rsid w:val="00B72C7F"/>
    <w:rsid w:val="00B732AB"/>
    <w:rsid w:val="00B739F8"/>
    <w:rsid w:val="00B742D9"/>
    <w:rsid w:val="00B74746"/>
    <w:rsid w:val="00B74E8C"/>
    <w:rsid w:val="00B74EE6"/>
    <w:rsid w:val="00B75633"/>
    <w:rsid w:val="00B7598F"/>
    <w:rsid w:val="00B75B5A"/>
    <w:rsid w:val="00B75BA0"/>
    <w:rsid w:val="00B760F0"/>
    <w:rsid w:val="00B76DA4"/>
    <w:rsid w:val="00B77783"/>
    <w:rsid w:val="00B8001F"/>
    <w:rsid w:val="00B80E4B"/>
    <w:rsid w:val="00B80E6D"/>
    <w:rsid w:val="00B819F9"/>
    <w:rsid w:val="00B82748"/>
    <w:rsid w:val="00B82954"/>
    <w:rsid w:val="00B82A3F"/>
    <w:rsid w:val="00B82DD7"/>
    <w:rsid w:val="00B83915"/>
    <w:rsid w:val="00B874E0"/>
    <w:rsid w:val="00B8779E"/>
    <w:rsid w:val="00B90516"/>
    <w:rsid w:val="00B905C3"/>
    <w:rsid w:val="00B91196"/>
    <w:rsid w:val="00B91672"/>
    <w:rsid w:val="00B92140"/>
    <w:rsid w:val="00B92946"/>
    <w:rsid w:val="00B939DF"/>
    <w:rsid w:val="00B940BD"/>
    <w:rsid w:val="00B953C8"/>
    <w:rsid w:val="00B958A4"/>
    <w:rsid w:val="00B95A5E"/>
    <w:rsid w:val="00B95C1C"/>
    <w:rsid w:val="00B97D09"/>
    <w:rsid w:val="00BA0429"/>
    <w:rsid w:val="00BA0B89"/>
    <w:rsid w:val="00BA0C79"/>
    <w:rsid w:val="00BA0D0A"/>
    <w:rsid w:val="00BA1968"/>
    <w:rsid w:val="00BA24FA"/>
    <w:rsid w:val="00BA31F3"/>
    <w:rsid w:val="00BA333E"/>
    <w:rsid w:val="00BA39D9"/>
    <w:rsid w:val="00BA47F1"/>
    <w:rsid w:val="00BA5621"/>
    <w:rsid w:val="00BA5E6A"/>
    <w:rsid w:val="00BA60B4"/>
    <w:rsid w:val="00BA6146"/>
    <w:rsid w:val="00BA726E"/>
    <w:rsid w:val="00BA7FD9"/>
    <w:rsid w:val="00BB2B28"/>
    <w:rsid w:val="00BB2BAF"/>
    <w:rsid w:val="00BB2D77"/>
    <w:rsid w:val="00BB2F67"/>
    <w:rsid w:val="00BB3429"/>
    <w:rsid w:val="00BB45DE"/>
    <w:rsid w:val="00BB5103"/>
    <w:rsid w:val="00BB5DD9"/>
    <w:rsid w:val="00BC0236"/>
    <w:rsid w:val="00BC0610"/>
    <w:rsid w:val="00BC0628"/>
    <w:rsid w:val="00BC0F55"/>
    <w:rsid w:val="00BC16EE"/>
    <w:rsid w:val="00BC2575"/>
    <w:rsid w:val="00BC273C"/>
    <w:rsid w:val="00BC2C92"/>
    <w:rsid w:val="00BC400D"/>
    <w:rsid w:val="00BC4124"/>
    <w:rsid w:val="00BC53EA"/>
    <w:rsid w:val="00BC54DC"/>
    <w:rsid w:val="00BC55BB"/>
    <w:rsid w:val="00BC5A00"/>
    <w:rsid w:val="00BC6DD6"/>
    <w:rsid w:val="00BD0095"/>
    <w:rsid w:val="00BD06AE"/>
    <w:rsid w:val="00BD140C"/>
    <w:rsid w:val="00BD1859"/>
    <w:rsid w:val="00BD1AFA"/>
    <w:rsid w:val="00BD3103"/>
    <w:rsid w:val="00BD37F2"/>
    <w:rsid w:val="00BD3AD4"/>
    <w:rsid w:val="00BD4D36"/>
    <w:rsid w:val="00BD5E6C"/>
    <w:rsid w:val="00BD6E21"/>
    <w:rsid w:val="00BE0416"/>
    <w:rsid w:val="00BE1996"/>
    <w:rsid w:val="00BE2DFA"/>
    <w:rsid w:val="00BE2E75"/>
    <w:rsid w:val="00BE4E8E"/>
    <w:rsid w:val="00BE57F5"/>
    <w:rsid w:val="00BE70CD"/>
    <w:rsid w:val="00BE7948"/>
    <w:rsid w:val="00BE7EF6"/>
    <w:rsid w:val="00BF03F9"/>
    <w:rsid w:val="00BF059C"/>
    <w:rsid w:val="00BF06DA"/>
    <w:rsid w:val="00BF07AE"/>
    <w:rsid w:val="00BF0D31"/>
    <w:rsid w:val="00BF10BE"/>
    <w:rsid w:val="00BF1357"/>
    <w:rsid w:val="00BF250C"/>
    <w:rsid w:val="00BF28E5"/>
    <w:rsid w:val="00BF29CE"/>
    <w:rsid w:val="00BF3C1B"/>
    <w:rsid w:val="00BF440F"/>
    <w:rsid w:val="00BF4B37"/>
    <w:rsid w:val="00BF6BF5"/>
    <w:rsid w:val="00C0092E"/>
    <w:rsid w:val="00C00ACD"/>
    <w:rsid w:val="00C00D7B"/>
    <w:rsid w:val="00C00D9D"/>
    <w:rsid w:val="00C00FB7"/>
    <w:rsid w:val="00C011F5"/>
    <w:rsid w:val="00C02639"/>
    <w:rsid w:val="00C02DD2"/>
    <w:rsid w:val="00C037B8"/>
    <w:rsid w:val="00C05083"/>
    <w:rsid w:val="00C0543A"/>
    <w:rsid w:val="00C054E8"/>
    <w:rsid w:val="00C054F2"/>
    <w:rsid w:val="00C055FE"/>
    <w:rsid w:val="00C06A0C"/>
    <w:rsid w:val="00C071AB"/>
    <w:rsid w:val="00C078B7"/>
    <w:rsid w:val="00C10382"/>
    <w:rsid w:val="00C103C4"/>
    <w:rsid w:val="00C108E3"/>
    <w:rsid w:val="00C10CBD"/>
    <w:rsid w:val="00C11A29"/>
    <w:rsid w:val="00C121D5"/>
    <w:rsid w:val="00C12372"/>
    <w:rsid w:val="00C12F7F"/>
    <w:rsid w:val="00C13223"/>
    <w:rsid w:val="00C13609"/>
    <w:rsid w:val="00C13673"/>
    <w:rsid w:val="00C14C8A"/>
    <w:rsid w:val="00C14DF6"/>
    <w:rsid w:val="00C155FF"/>
    <w:rsid w:val="00C172F4"/>
    <w:rsid w:val="00C21AD8"/>
    <w:rsid w:val="00C226C5"/>
    <w:rsid w:val="00C25EF9"/>
    <w:rsid w:val="00C26E5E"/>
    <w:rsid w:val="00C27A89"/>
    <w:rsid w:val="00C27E81"/>
    <w:rsid w:val="00C31184"/>
    <w:rsid w:val="00C32861"/>
    <w:rsid w:val="00C32E66"/>
    <w:rsid w:val="00C335B3"/>
    <w:rsid w:val="00C3448A"/>
    <w:rsid w:val="00C349A6"/>
    <w:rsid w:val="00C352A1"/>
    <w:rsid w:val="00C35481"/>
    <w:rsid w:val="00C3783F"/>
    <w:rsid w:val="00C41B96"/>
    <w:rsid w:val="00C42D60"/>
    <w:rsid w:val="00C43FD2"/>
    <w:rsid w:val="00C45E59"/>
    <w:rsid w:val="00C479D4"/>
    <w:rsid w:val="00C527CB"/>
    <w:rsid w:val="00C5457A"/>
    <w:rsid w:val="00C54B01"/>
    <w:rsid w:val="00C56C61"/>
    <w:rsid w:val="00C56EA1"/>
    <w:rsid w:val="00C57368"/>
    <w:rsid w:val="00C57806"/>
    <w:rsid w:val="00C60051"/>
    <w:rsid w:val="00C61BE9"/>
    <w:rsid w:val="00C61CD3"/>
    <w:rsid w:val="00C6212B"/>
    <w:rsid w:val="00C625BD"/>
    <w:rsid w:val="00C64702"/>
    <w:rsid w:val="00C652FF"/>
    <w:rsid w:val="00C66B1A"/>
    <w:rsid w:val="00C66E9B"/>
    <w:rsid w:val="00C67925"/>
    <w:rsid w:val="00C70345"/>
    <w:rsid w:val="00C70466"/>
    <w:rsid w:val="00C70680"/>
    <w:rsid w:val="00C706FC"/>
    <w:rsid w:val="00C70DBA"/>
    <w:rsid w:val="00C70E51"/>
    <w:rsid w:val="00C7192C"/>
    <w:rsid w:val="00C73340"/>
    <w:rsid w:val="00C73B64"/>
    <w:rsid w:val="00C73FC0"/>
    <w:rsid w:val="00C75CBC"/>
    <w:rsid w:val="00C763C2"/>
    <w:rsid w:val="00C764AB"/>
    <w:rsid w:val="00C76842"/>
    <w:rsid w:val="00C76D4E"/>
    <w:rsid w:val="00C76E02"/>
    <w:rsid w:val="00C814CB"/>
    <w:rsid w:val="00C82B26"/>
    <w:rsid w:val="00C83160"/>
    <w:rsid w:val="00C84874"/>
    <w:rsid w:val="00C86298"/>
    <w:rsid w:val="00C86762"/>
    <w:rsid w:val="00C867CC"/>
    <w:rsid w:val="00C90097"/>
    <w:rsid w:val="00C9022A"/>
    <w:rsid w:val="00C90636"/>
    <w:rsid w:val="00C90DAD"/>
    <w:rsid w:val="00C9153A"/>
    <w:rsid w:val="00C91FC4"/>
    <w:rsid w:val="00C926AC"/>
    <w:rsid w:val="00C9447A"/>
    <w:rsid w:val="00C94BCF"/>
    <w:rsid w:val="00C95084"/>
    <w:rsid w:val="00C9558A"/>
    <w:rsid w:val="00C967E2"/>
    <w:rsid w:val="00CA0772"/>
    <w:rsid w:val="00CA0FD7"/>
    <w:rsid w:val="00CA1423"/>
    <w:rsid w:val="00CA187A"/>
    <w:rsid w:val="00CA36D9"/>
    <w:rsid w:val="00CA458E"/>
    <w:rsid w:val="00CA5080"/>
    <w:rsid w:val="00CA56A3"/>
    <w:rsid w:val="00CA663A"/>
    <w:rsid w:val="00CA7403"/>
    <w:rsid w:val="00CA7752"/>
    <w:rsid w:val="00CB026D"/>
    <w:rsid w:val="00CB0551"/>
    <w:rsid w:val="00CB266B"/>
    <w:rsid w:val="00CB35BE"/>
    <w:rsid w:val="00CB4A73"/>
    <w:rsid w:val="00CB5D2D"/>
    <w:rsid w:val="00CC0930"/>
    <w:rsid w:val="00CC0DC0"/>
    <w:rsid w:val="00CC191D"/>
    <w:rsid w:val="00CC256C"/>
    <w:rsid w:val="00CC26D0"/>
    <w:rsid w:val="00CC2BD3"/>
    <w:rsid w:val="00CC4E44"/>
    <w:rsid w:val="00CC5A5A"/>
    <w:rsid w:val="00CC64F4"/>
    <w:rsid w:val="00CC6B94"/>
    <w:rsid w:val="00CC6C57"/>
    <w:rsid w:val="00CC6D15"/>
    <w:rsid w:val="00CC7B64"/>
    <w:rsid w:val="00CC7F0B"/>
    <w:rsid w:val="00CD0CCE"/>
    <w:rsid w:val="00CD230D"/>
    <w:rsid w:val="00CD2492"/>
    <w:rsid w:val="00CD254E"/>
    <w:rsid w:val="00CD2BD8"/>
    <w:rsid w:val="00CD373D"/>
    <w:rsid w:val="00CD448F"/>
    <w:rsid w:val="00CD60A8"/>
    <w:rsid w:val="00CD6549"/>
    <w:rsid w:val="00CD670E"/>
    <w:rsid w:val="00CD787F"/>
    <w:rsid w:val="00CD788F"/>
    <w:rsid w:val="00CD7D26"/>
    <w:rsid w:val="00CE0B5A"/>
    <w:rsid w:val="00CE0E45"/>
    <w:rsid w:val="00CE15CA"/>
    <w:rsid w:val="00CE3421"/>
    <w:rsid w:val="00CE4725"/>
    <w:rsid w:val="00CE4D37"/>
    <w:rsid w:val="00CE611B"/>
    <w:rsid w:val="00CE64BD"/>
    <w:rsid w:val="00CE65AA"/>
    <w:rsid w:val="00CF0748"/>
    <w:rsid w:val="00CF09C9"/>
    <w:rsid w:val="00CF104D"/>
    <w:rsid w:val="00CF1AB1"/>
    <w:rsid w:val="00CF1F37"/>
    <w:rsid w:val="00CF2087"/>
    <w:rsid w:val="00CF35CA"/>
    <w:rsid w:val="00CF49D5"/>
    <w:rsid w:val="00CF4C1C"/>
    <w:rsid w:val="00CF578E"/>
    <w:rsid w:val="00D006D6"/>
    <w:rsid w:val="00D01C0A"/>
    <w:rsid w:val="00D0260A"/>
    <w:rsid w:val="00D03D0C"/>
    <w:rsid w:val="00D03ED6"/>
    <w:rsid w:val="00D045DD"/>
    <w:rsid w:val="00D04F8B"/>
    <w:rsid w:val="00D0682F"/>
    <w:rsid w:val="00D07505"/>
    <w:rsid w:val="00D07AA4"/>
    <w:rsid w:val="00D10BBE"/>
    <w:rsid w:val="00D10F25"/>
    <w:rsid w:val="00D11969"/>
    <w:rsid w:val="00D12559"/>
    <w:rsid w:val="00D13123"/>
    <w:rsid w:val="00D13BE1"/>
    <w:rsid w:val="00D143F4"/>
    <w:rsid w:val="00D14C45"/>
    <w:rsid w:val="00D154E7"/>
    <w:rsid w:val="00D16389"/>
    <w:rsid w:val="00D16DF9"/>
    <w:rsid w:val="00D179D8"/>
    <w:rsid w:val="00D21156"/>
    <w:rsid w:val="00D21732"/>
    <w:rsid w:val="00D223E0"/>
    <w:rsid w:val="00D2301C"/>
    <w:rsid w:val="00D23454"/>
    <w:rsid w:val="00D238D3"/>
    <w:rsid w:val="00D23CB8"/>
    <w:rsid w:val="00D241DE"/>
    <w:rsid w:val="00D24A62"/>
    <w:rsid w:val="00D24D0F"/>
    <w:rsid w:val="00D24F23"/>
    <w:rsid w:val="00D2540D"/>
    <w:rsid w:val="00D25AC7"/>
    <w:rsid w:val="00D2600A"/>
    <w:rsid w:val="00D26435"/>
    <w:rsid w:val="00D26FD2"/>
    <w:rsid w:val="00D27991"/>
    <w:rsid w:val="00D30715"/>
    <w:rsid w:val="00D3093E"/>
    <w:rsid w:val="00D312A4"/>
    <w:rsid w:val="00D32790"/>
    <w:rsid w:val="00D32BB9"/>
    <w:rsid w:val="00D35703"/>
    <w:rsid w:val="00D36267"/>
    <w:rsid w:val="00D37849"/>
    <w:rsid w:val="00D43650"/>
    <w:rsid w:val="00D43CF9"/>
    <w:rsid w:val="00D47423"/>
    <w:rsid w:val="00D507EA"/>
    <w:rsid w:val="00D5087B"/>
    <w:rsid w:val="00D50AF5"/>
    <w:rsid w:val="00D51102"/>
    <w:rsid w:val="00D51A52"/>
    <w:rsid w:val="00D51B25"/>
    <w:rsid w:val="00D52C7E"/>
    <w:rsid w:val="00D53293"/>
    <w:rsid w:val="00D537C0"/>
    <w:rsid w:val="00D53A4E"/>
    <w:rsid w:val="00D5767A"/>
    <w:rsid w:val="00D5772E"/>
    <w:rsid w:val="00D57F0C"/>
    <w:rsid w:val="00D60148"/>
    <w:rsid w:val="00D616E8"/>
    <w:rsid w:val="00D61EE2"/>
    <w:rsid w:val="00D62B7D"/>
    <w:rsid w:val="00D63726"/>
    <w:rsid w:val="00D63A10"/>
    <w:rsid w:val="00D653CD"/>
    <w:rsid w:val="00D66817"/>
    <w:rsid w:val="00D6689D"/>
    <w:rsid w:val="00D67498"/>
    <w:rsid w:val="00D67D27"/>
    <w:rsid w:val="00D67EA5"/>
    <w:rsid w:val="00D7077A"/>
    <w:rsid w:val="00D7087F"/>
    <w:rsid w:val="00D70D46"/>
    <w:rsid w:val="00D7454A"/>
    <w:rsid w:val="00D746C5"/>
    <w:rsid w:val="00D75960"/>
    <w:rsid w:val="00D76F35"/>
    <w:rsid w:val="00D77C01"/>
    <w:rsid w:val="00D77F3F"/>
    <w:rsid w:val="00D8043C"/>
    <w:rsid w:val="00D819EC"/>
    <w:rsid w:val="00D81EBD"/>
    <w:rsid w:val="00D83F68"/>
    <w:rsid w:val="00D84AAD"/>
    <w:rsid w:val="00D84D44"/>
    <w:rsid w:val="00D866B0"/>
    <w:rsid w:val="00D87125"/>
    <w:rsid w:val="00D90AB9"/>
    <w:rsid w:val="00D90E6F"/>
    <w:rsid w:val="00D91015"/>
    <w:rsid w:val="00D91362"/>
    <w:rsid w:val="00D913B3"/>
    <w:rsid w:val="00D92342"/>
    <w:rsid w:val="00D92FDE"/>
    <w:rsid w:val="00D93088"/>
    <w:rsid w:val="00D93AA9"/>
    <w:rsid w:val="00D93BE7"/>
    <w:rsid w:val="00D9464E"/>
    <w:rsid w:val="00D95057"/>
    <w:rsid w:val="00D95BD9"/>
    <w:rsid w:val="00D96CC1"/>
    <w:rsid w:val="00DA033B"/>
    <w:rsid w:val="00DA1CCA"/>
    <w:rsid w:val="00DA3021"/>
    <w:rsid w:val="00DA46D2"/>
    <w:rsid w:val="00DA4806"/>
    <w:rsid w:val="00DA57E1"/>
    <w:rsid w:val="00DA6116"/>
    <w:rsid w:val="00DA73CB"/>
    <w:rsid w:val="00DB08AF"/>
    <w:rsid w:val="00DB0BEF"/>
    <w:rsid w:val="00DB0BFA"/>
    <w:rsid w:val="00DB1D36"/>
    <w:rsid w:val="00DB2214"/>
    <w:rsid w:val="00DB3C8A"/>
    <w:rsid w:val="00DB4295"/>
    <w:rsid w:val="00DB42F8"/>
    <w:rsid w:val="00DB4F99"/>
    <w:rsid w:val="00DB5611"/>
    <w:rsid w:val="00DB63AF"/>
    <w:rsid w:val="00DB67FC"/>
    <w:rsid w:val="00DB71B6"/>
    <w:rsid w:val="00DC11AC"/>
    <w:rsid w:val="00DC1265"/>
    <w:rsid w:val="00DC1540"/>
    <w:rsid w:val="00DC1C4A"/>
    <w:rsid w:val="00DC235F"/>
    <w:rsid w:val="00DC2366"/>
    <w:rsid w:val="00DC3313"/>
    <w:rsid w:val="00DC34EB"/>
    <w:rsid w:val="00DC3FC7"/>
    <w:rsid w:val="00DC42EF"/>
    <w:rsid w:val="00DC44F4"/>
    <w:rsid w:val="00DC4FA3"/>
    <w:rsid w:val="00DC5624"/>
    <w:rsid w:val="00DC56C9"/>
    <w:rsid w:val="00DC57D1"/>
    <w:rsid w:val="00DC6458"/>
    <w:rsid w:val="00DC719B"/>
    <w:rsid w:val="00DC75DF"/>
    <w:rsid w:val="00DD1BBD"/>
    <w:rsid w:val="00DD3799"/>
    <w:rsid w:val="00DD3BA5"/>
    <w:rsid w:val="00DD4C2A"/>
    <w:rsid w:val="00DD51C8"/>
    <w:rsid w:val="00DD5766"/>
    <w:rsid w:val="00DD5908"/>
    <w:rsid w:val="00DD5C72"/>
    <w:rsid w:val="00DD659C"/>
    <w:rsid w:val="00DD73FF"/>
    <w:rsid w:val="00DE00EE"/>
    <w:rsid w:val="00DE04D4"/>
    <w:rsid w:val="00DE0B2F"/>
    <w:rsid w:val="00DE1B7B"/>
    <w:rsid w:val="00DE2132"/>
    <w:rsid w:val="00DE30FE"/>
    <w:rsid w:val="00DE320D"/>
    <w:rsid w:val="00DE3F3E"/>
    <w:rsid w:val="00DE4FB5"/>
    <w:rsid w:val="00DF0339"/>
    <w:rsid w:val="00DF06E5"/>
    <w:rsid w:val="00DF0AF2"/>
    <w:rsid w:val="00DF19AF"/>
    <w:rsid w:val="00DF2BFE"/>
    <w:rsid w:val="00DF3CE9"/>
    <w:rsid w:val="00DF58CB"/>
    <w:rsid w:val="00DF5A2B"/>
    <w:rsid w:val="00DF715D"/>
    <w:rsid w:val="00DF7557"/>
    <w:rsid w:val="00E00F22"/>
    <w:rsid w:val="00E02297"/>
    <w:rsid w:val="00E0261D"/>
    <w:rsid w:val="00E026B1"/>
    <w:rsid w:val="00E02A6A"/>
    <w:rsid w:val="00E03163"/>
    <w:rsid w:val="00E0379A"/>
    <w:rsid w:val="00E0673C"/>
    <w:rsid w:val="00E06800"/>
    <w:rsid w:val="00E0791B"/>
    <w:rsid w:val="00E105DE"/>
    <w:rsid w:val="00E1066D"/>
    <w:rsid w:val="00E1173B"/>
    <w:rsid w:val="00E12A5D"/>
    <w:rsid w:val="00E12DBB"/>
    <w:rsid w:val="00E14C50"/>
    <w:rsid w:val="00E156C4"/>
    <w:rsid w:val="00E16E33"/>
    <w:rsid w:val="00E211BE"/>
    <w:rsid w:val="00E2146A"/>
    <w:rsid w:val="00E23065"/>
    <w:rsid w:val="00E23071"/>
    <w:rsid w:val="00E2588C"/>
    <w:rsid w:val="00E27FF7"/>
    <w:rsid w:val="00E304F8"/>
    <w:rsid w:val="00E30F57"/>
    <w:rsid w:val="00E315E4"/>
    <w:rsid w:val="00E31826"/>
    <w:rsid w:val="00E31C8C"/>
    <w:rsid w:val="00E327BA"/>
    <w:rsid w:val="00E32B3A"/>
    <w:rsid w:val="00E3565D"/>
    <w:rsid w:val="00E365CE"/>
    <w:rsid w:val="00E36728"/>
    <w:rsid w:val="00E371BF"/>
    <w:rsid w:val="00E37444"/>
    <w:rsid w:val="00E37535"/>
    <w:rsid w:val="00E3783E"/>
    <w:rsid w:val="00E4062B"/>
    <w:rsid w:val="00E41836"/>
    <w:rsid w:val="00E42111"/>
    <w:rsid w:val="00E4248D"/>
    <w:rsid w:val="00E42684"/>
    <w:rsid w:val="00E4379E"/>
    <w:rsid w:val="00E43B54"/>
    <w:rsid w:val="00E44BDB"/>
    <w:rsid w:val="00E44CA4"/>
    <w:rsid w:val="00E44DA3"/>
    <w:rsid w:val="00E4551E"/>
    <w:rsid w:val="00E46570"/>
    <w:rsid w:val="00E47649"/>
    <w:rsid w:val="00E5029A"/>
    <w:rsid w:val="00E51316"/>
    <w:rsid w:val="00E51F0C"/>
    <w:rsid w:val="00E523EF"/>
    <w:rsid w:val="00E527D0"/>
    <w:rsid w:val="00E53334"/>
    <w:rsid w:val="00E5404B"/>
    <w:rsid w:val="00E54094"/>
    <w:rsid w:val="00E54454"/>
    <w:rsid w:val="00E56AE4"/>
    <w:rsid w:val="00E57CC3"/>
    <w:rsid w:val="00E63322"/>
    <w:rsid w:val="00E63397"/>
    <w:rsid w:val="00E635F6"/>
    <w:rsid w:val="00E63648"/>
    <w:rsid w:val="00E63801"/>
    <w:rsid w:val="00E63F3A"/>
    <w:rsid w:val="00E64293"/>
    <w:rsid w:val="00E64CD7"/>
    <w:rsid w:val="00E64DBD"/>
    <w:rsid w:val="00E64E39"/>
    <w:rsid w:val="00E64F8B"/>
    <w:rsid w:val="00E650F9"/>
    <w:rsid w:val="00E664B5"/>
    <w:rsid w:val="00E66D72"/>
    <w:rsid w:val="00E701F0"/>
    <w:rsid w:val="00E740C7"/>
    <w:rsid w:val="00E75790"/>
    <w:rsid w:val="00E7626A"/>
    <w:rsid w:val="00E765B5"/>
    <w:rsid w:val="00E76976"/>
    <w:rsid w:val="00E7741B"/>
    <w:rsid w:val="00E807D4"/>
    <w:rsid w:val="00E815DD"/>
    <w:rsid w:val="00E820AD"/>
    <w:rsid w:val="00E8343D"/>
    <w:rsid w:val="00E837B6"/>
    <w:rsid w:val="00E846DA"/>
    <w:rsid w:val="00E850E8"/>
    <w:rsid w:val="00E85970"/>
    <w:rsid w:val="00E87D0F"/>
    <w:rsid w:val="00E900F3"/>
    <w:rsid w:val="00E90D64"/>
    <w:rsid w:val="00E90EF9"/>
    <w:rsid w:val="00E919F6"/>
    <w:rsid w:val="00E93745"/>
    <w:rsid w:val="00E93C9A"/>
    <w:rsid w:val="00E93F84"/>
    <w:rsid w:val="00E9443D"/>
    <w:rsid w:val="00E94843"/>
    <w:rsid w:val="00E95FF9"/>
    <w:rsid w:val="00E963C9"/>
    <w:rsid w:val="00E974EB"/>
    <w:rsid w:val="00E976AC"/>
    <w:rsid w:val="00EA04A7"/>
    <w:rsid w:val="00EA185F"/>
    <w:rsid w:val="00EA3293"/>
    <w:rsid w:val="00EA337C"/>
    <w:rsid w:val="00EA3EC2"/>
    <w:rsid w:val="00EA4D67"/>
    <w:rsid w:val="00EA4EF2"/>
    <w:rsid w:val="00EA548E"/>
    <w:rsid w:val="00EA5CC8"/>
    <w:rsid w:val="00EA66FB"/>
    <w:rsid w:val="00EA67E5"/>
    <w:rsid w:val="00EA6E43"/>
    <w:rsid w:val="00EB045E"/>
    <w:rsid w:val="00EB0FBF"/>
    <w:rsid w:val="00EB1160"/>
    <w:rsid w:val="00EB1BB1"/>
    <w:rsid w:val="00EB333E"/>
    <w:rsid w:val="00EB33B6"/>
    <w:rsid w:val="00EB3C2B"/>
    <w:rsid w:val="00EB5521"/>
    <w:rsid w:val="00EB5DC7"/>
    <w:rsid w:val="00EB6645"/>
    <w:rsid w:val="00EB6CE2"/>
    <w:rsid w:val="00EB7624"/>
    <w:rsid w:val="00EC0265"/>
    <w:rsid w:val="00EC0DC2"/>
    <w:rsid w:val="00EC1DB4"/>
    <w:rsid w:val="00EC204E"/>
    <w:rsid w:val="00EC2E3D"/>
    <w:rsid w:val="00EC380F"/>
    <w:rsid w:val="00EC3869"/>
    <w:rsid w:val="00EC5024"/>
    <w:rsid w:val="00EC7766"/>
    <w:rsid w:val="00ED00C6"/>
    <w:rsid w:val="00ED025E"/>
    <w:rsid w:val="00ED0956"/>
    <w:rsid w:val="00ED0F24"/>
    <w:rsid w:val="00ED2E2C"/>
    <w:rsid w:val="00ED307A"/>
    <w:rsid w:val="00ED37A7"/>
    <w:rsid w:val="00ED54ED"/>
    <w:rsid w:val="00ED5DE8"/>
    <w:rsid w:val="00ED7614"/>
    <w:rsid w:val="00EE09C8"/>
    <w:rsid w:val="00EE1AC7"/>
    <w:rsid w:val="00EE31F9"/>
    <w:rsid w:val="00EE322C"/>
    <w:rsid w:val="00EE33E5"/>
    <w:rsid w:val="00EE4981"/>
    <w:rsid w:val="00EE5DAB"/>
    <w:rsid w:val="00EE7A60"/>
    <w:rsid w:val="00EF086D"/>
    <w:rsid w:val="00EF0ABA"/>
    <w:rsid w:val="00EF24EF"/>
    <w:rsid w:val="00EF26D6"/>
    <w:rsid w:val="00EF2933"/>
    <w:rsid w:val="00EF2BD8"/>
    <w:rsid w:val="00EF44BA"/>
    <w:rsid w:val="00EF48CA"/>
    <w:rsid w:val="00EF74C0"/>
    <w:rsid w:val="00EF76F7"/>
    <w:rsid w:val="00EF7A85"/>
    <w:rsid w:val="00F00439"/>
    <w:rsid w:val="00F02005"/>
    <w:rsid w:val="00F04A8E"/>
    <w:rsid w:val="00F04F9A"/>
    <w:rsid w:val="00F05D09"/>
    <w:rsid w:val="00F062A8"/>
    <w:rsid w:val="00F0664C"/>
    <w:rsid w:val="00F06762"/>
    <w:rsid w:val="00F07545"/>
    <w:rsid w:val="00F10418"/>
    <w:rsid w:val="00F1194B"/>
    <w:rsid w:val="00F125A3"/>
    <w:rsid w:val="00F15A08"/>
    <w:rsid w:val="00F169E3"/>
    <w:rsid w:val="00F20ED2"/>
    <w:rsid w:val="00F22887"/>
    <w:rsid w:val="00F22F11"/>
    <w:rsid w:val="00F23171"/>
    <w:rsid w:val="00F23830"/>
    <w:rsid w:val="00F2433A"/>
    <w:rsid w:val="00F24568"/>
    <w:rsid w:val="00F25F58"/>
    <w:rsid w:val="00F26157"/>
    <w:rsid w:val="00F3019F"/>
    <w:rsid w:val="00F308AA"/>
    <w:rsid w:val="00F31311"/>
    <w:rsid w:val="00F318C7"/>
    <w:rsid w:val="00F31A4D"/>
    <w:rsid w:val="00F32357"/>
    <w:rsid w:val="00F32D3D"/>
    <w:rsid w:val="00F3306F"/>
    <w:rsid w:val="00F33C8A"/>
    <w:rsid w:val="00F3400B"/>
    <w:rsid w:val="00F349CB"/>
    <w:rsid w:val="00F3621D"/>
    <w:rsid w:val="00F36CEB"/>
    <w:rsid w:val="00F3782C"/>
    <w:rsid w:val="00F379D1"/>
    <w:rsid w:val="00F37CE1"/>
    <w:rsid w:val="00F37ED3"/>
    <w:rsid w:val="00F37EDE"/>
    <w:rsid w:val="00F402CE"/>
    <w:rsid w:val="00F4080A"/>
    <w:rsid w:val="00F4177D"/>
    <w:rsid w:val="00F41E11"/>
    <w:rsid w:val="00F43233"/>
    <w:rsid w:val="00F4354D"/>
    <w:rsid w:val="00F46204"/>
    <w:rsid w:val="00F46278"/>
    <w:rsid w:val="00F4639F"/>
    <w:rsid w:val="00F46711"/>
    <w:rsid w:val="00F52002"/>
    <w:rsid w:val="00F528F4"/>
    <w:rsid w:val="00F53A88"/>
    <w:rsid w:val="00F55723"/>
    <w:rsid w:val="00F563A2"/>
    <w:rsid w:val="00F56452"/>
    <w:rsid w:val="00F57243"/>
    <w:rsid w:val="00F57506"/>
    <w:rsid w:val="00F57738"/>
    <w:rsid w:val="00F577FB"/>
    <w:rsid w:val="00F57991"/>
    <w:rsid w:val="00F57C70"/>
    <w:rsid w:val="00F6025C"/>
    <w:rsid w:val="00F60B77"/>
    <w:rsid w:val="00F61B63"/>
    <w:rsid w:val="00F61DA3"/>
    <w:rsid w:val="00F621AE"/>
    <w:rsid w:val="00F630F2"/>
    <w:rsid w:val="00F63298"/>
    <w:rsid w:val="00F64FF9"/>
    <w:rsid w:val="00F6543E"/>
    <w:rsid w:val="00F6578F"/>
    <w:rsid w:val="00F66F99"/>
    <w:rsid w:val="00F675BB"/>
    <w:rsid w:val="00F719A3"/>
    <w:rsid w:val="00F720EC"/>
    <w:rsid w:val="00F74C45"/>
    <w:rsid w:val="00F74DBE"/>
    <w:rsid w:val="00F75265"/>
    <w:rsid w:val="00F764E1"/>
    <w:rsid w:val="00F77545"/>
    <w:rsid w:val="00F77C94"/>
    <w:rsid w:val="00F77DED"/>
    <w:rsid w:val="00F80179"/>
    <w:rsid w:val="00F808E4"/>
    <w:rsid w:val="00F8309D"/>
    <w:rsid w:val="00F83628"/>
    <w:rsid w:val="00F83943"/>
    <w:rsid w:val="00F8487C"/>
    <w:rsid w:val="00F85945"/>
    <w:rsid w:val="00F85FC7"/>
    <w:rsid w:val="00F8644A"/>
    <w:rsid w:val="00F86C88"/>
    <w:rsid w:val="00F87361"/>
    <w:rsid w:val="00F87888"/>
    <w:rsid w:val="00F87B8E"/>
    <w:rsid w:val="00F910B6"/>
    <w:rsid w:val="00F93752"/>
    <w:rsid w:val="00F93BE5"/>
    <w:rsid w:val="00F94430"/>
    <w:rsid w:val="00F94D0E"/>
    <w:rsid w:val="00F95FC5"/>
    <w:rsid w:val="00F965D9"/>
    <w:rsid w:val="00F97F73"/>
    <w:rsid w:val="00FA1D42"/>
    <w:rsid w:val="00FA1EC8"/>
    <w:rsid w:val="00FA2AE3"/>
    <w:rsid w:val="00FA359F"/>
    <w:rsid w:val="00FA3C22"/>
    <w:rsid w:val="00FA4EF3"/>
    <w:rsid w:val="00FA560A"/>
    <w:rsid w:val="00FA5AAE"/>
    <w:rsid w:val="00FA6711"/>
    <w:rsid w:val="00FA6BF5"/>
    <w:rsid w:val="00FA6D52"/>
    <w:rsid w:val="00FB0A77"/>
    <w:rsid w:val="00FB0B33"/>
    <w:rsid w:val="00FB113E"/>
    <w:rsid w:val="00FB1A3B"/>
    <w:rsid w:val="00FB3C91"/>
    <w:rsid w:val="00FB3E32"/>
    <w:rsid w:val="00FB404E"/>
    <w:rsid w:val="00FB55F1"/>
    <w:rsid w:val="00FB5650"/>
    <w:rsid w:val="00FC04E9"/>
    <w:rsid w:val="00FC0FE8"/>
    <w:rsid w:val="00FC36E3"/>
    <w:rsid w:val="00FC46AE"/>
    <w:rsid w:val="00FC58AC"/>
    <w:rsid w:val="00FC77E5"/>
    <w:rsid w:val="00FC7D42"/>
    <w:rsid w:val="00FD1438"/>
    <w:rsid w:val="00FD1B95"/>
    <w:rsid w:val="00FD2391"/>
    <w:rsid w:val="00FD344C"/>
    <w:rsid w:val="00FD3859"/>
    <w:rsid w:val="00FD4620"/>
    <w:rsid w:val="00FD5F78"/>
    <w:rsid w:val="00FD66BD"/>
    <w:rsid w:val="00FD74BF"/>
    <w:rsid w:val="00FD7D83"/>
    <w:rsid w:val="00FE027B"/>
    <w:rsid w:val="00FE0602"/>
    <w:rsid w:val="00FE1BC5"/>
    <w:rsid w:val="00FE1F08"/>
    <w:rsid w:val="00FE20BE"/>
    <w:rsid w:val="00FE2F6B"/>
    <w:rsid w:val="00FE4207"/>
    <w:rsid w:val="00FE727D"/>
    <w:rsid w:val="00FE7477"/>
    <w:rsid w:val="00FF0655"/>
    <w:rsid w:val="00FF07AE"/>
    <w:rsid w:val="00FF2B50"/>
    <w:rsid w:val="00FF3176"/>
    <w:rsid w:val="00FF3864"/>
    <w:rsid w:val="00FF4131"/>
    <w:rsid w:val="00FF546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v:stroke endarrow="block"/>
      <o:colormru v:ext="edit" colors="#ffe2a7"/>
    </o:shapedefaults>
    <o:shapelayout v:ext="edit">
      <o:idmap v:ext="edit" data="1"/>
    </o:shapelayout>
  </w:shapeDefaults>
  <w:decimalSymbol w:val="."/>
  <w:listSeparator w:val=","/>
  <w14:docId w14:val="75ABB277"/>
  <w15:docId w15:val="{0AFF53EA-BA72-4EA5-869A-12FA5FAE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5AAE"/>
  </w:style>
  <w:style w:type="paragraph" w:styleId="Heading1">
    <w:name w:val="heading 1"/>
    <w:basedOn w:val="Normal"/>
    <w:next w:val="Normal"/>
    <w:link w:val="Heading1Char"/>
    <w:uiPriority w:val="9"/>
    <w:qFormat/>
    <w:rsid w:val="00FA5AAE"/>
    <w:pPr>
      <w:keepNext/>
      <w:keepLines/>
      <w:pBdr>
        <w:bottom w:val="single" w:sz="4" w:space="1" w:color="7D110C" w:themeColor="accent1"/>
      </w:pBdr>
      <w:spacing w:before="400" w:after="40" w:line="240" w:lineRule="auto"/>
      <w:outlineLvl w:val="0"/>
    </w:pPr>
    <w:rPr>
      <w:rFonts w:asciiTheme="majorHAnsi" w:eastAsiaTheme="majorEastAsia" w:hAnsiTheme="majorHAnsi" w:cstheme="majorBidi"/>
      <w:color w:val="5D0C09" w:themeColor="accent1" w:themeShade="BF"/>
      <w:sz w:val="36"/>
      <w:szCs w:val="36"/>
    </w:rPr>
  </w:style>
  <w:style w:type="paragraph" w:styleId="Heading2">
    <w:name w:val="heading 2"/>
    <w:basedOn w:val="Normal"/>
    <w:next w:val="Normal"/>
    <w:link w:val="Heading2Char"/>
    <w:uiPriority w:val="9"/>
    <w:unhideWhenUsed/>
    <w:qFormat/>
    <w:rsid w:val="00190D09"/>
    <w:pPr>
      <w:keepNext/>
      <w:keepLines/>
      <w:spacing w:before="160" w:after="0" w:line="240" w:lineRule="auto"/>
      <w:outlineLvl w:val="1"/>
    </w:pPr>
    <w:rPr>
      <w:rFonts w:asciiTheme="majorHAnsi" w:eastAsiaTheme="majorEastAsia" w:hAnsiTheme="majorHAnsi" w:cstheme="majorBidi"/>
      <w:color w:val="5D0C09" w:themeColor="accent1" w:themeShade="BF"/>
      <w:sz w:val="28"/>
      <w:szCs w:val="28"/>
      <w:shd w:val="clear" w:color="auto" w:fill="F2F2F2" w:themeFill="background1" w:themeFillShade="F2"/>
    </w:rPr>
  </w:style>
  <w:style w:type="paragraph" w:styleId="Heading3">
    <w:name w:val="heading 3"/>
    <w:basedOn w:val="Normal"/>
    <w:next w:val="Normal"/>
    <w:link w:val="Heading3Char"/>
    <w:uiPriority w:val="9"/>
    <w:unhideWhenUsed/>
    <w:qFormat/>
    <w:rsid w:val="008634BB"/>
    <w:pPr>
      <w:spacing w:before="120" w:after="200" w:line="276" w:lineRule="auto"/>
      <w:outlineLvl w:val="2"/>
    </w:pPr>
  </w:style>
  <w:style w:type="paragraph" w:styleId="Heading4">
    <w:name w:val="heading 4"/>
    <w:basedOn w:val="Normal"/>
    <w:next w:val="Normal"/>
    <w:link w:val="Heading4Char"/>
    <w:uiPriority w:val="9"/>
    <w:unhideWhenUsed/>
    <w:qFormat/>
    <w:rsid w:val="00FA5AA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FA5AA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FA5AA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FA5AA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FA5AA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aliases w:val="Tables"/>
    <w:basedOn w:val="Normal"/>
    <w:next w:val="Normal"/>
    <w:link w:val="Heading9Char"/>
    <w:uiPriority w:val="9"/>
    <w:unhideWhenUsed/>
    <w:qFormat/>
    <w:rsid w:val="00FA5AA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7925"/>
    <w:rPr>
      <w:color w:val="0000FF"/>
      <w:u w:val="single"/>
    </w:rPr>
  </w:style>
  <w:style w:type="character" w:styleId="FollowedHyperlink">
    <w:name w:val="FollowedHyperlink"/>
    <w:uiPriority w:val="99"/>
    <w:rsid w:val="00B07925"/>
    <w:rPr>
      <w:color w:val="0000FF"/>
      <w:u w:val="single"/>
    </w:rPr>
  </w:style>
  <w:style w:type="paragraph" w:styleId="NormalWeb">
    <w:name w:val="Normal (Web)"/>
    <w:basedOn w:val="Normal"/>
    <w:uiPriority w:val="99"/>
    <w:rsid w:val="00B07925"/>
    <w:pPr>
      <w:spacing w:before="100" w:beforeAutospacing="1" w:after="100" w:afterAutospacing="1"/>
    </w:pPr>
  </w:style>
  <w:style w:type="paragraph" w:styleId="BodyText">
    <w:name w:val="Body Text"/>
    <w:basedOn w:val="Normal"/>
    <w:link w:val="BodyTextChar"/>
    <w:rsid w:val="00B07925"/>
    <w:pPr>
      <w:spacing w:before="100" w:beforeAutospacing="1" w:after="100" w:afterAutospacing="1"/>
    </w:pPr>
  </w:style>
  <w:style w:type="paragraph" w:styleId="BalloonText">
    <w:name w:val="Balloon Text"/>
    <w:basedOn w:val="Normal"/>
    <w:link w:val="BalloonTextChar"/>
    <w:uiPriority w:val="99"/>
    <w:semiHidden/>
    <w:rsid w:val="00B07925"/>
    <w:rPr>
      <w:rFonts w:ascii="Tahoma" w:hAnsi="Tahoma" w:cs="Tahoma"/>
      <w:sz w:val="16"/>
      <w:szCs w:val="16"/>
    </w:rPr>
  </w:style>
  <w:style w:type="paragraph" w:customStyle="1" w:styleId="page">
    <w:name w:val="page"/>
    <w:basedOn w:val="Normal"/>
    <w:uiPriority w:val="99"/>
    <w:rsid w:val="00B07925"/>
    <w:pPr>
      <w:pageBreakBefore/>
      <w:spacing w:before="100" w:beforeAutospacing="1" w:after="100" w:afterAutospacing="1"/>
    </w:pPr>
  </w:style>
  <w:style w:type="paragraph" w:customStyle="1" w:styleId="level1">
    <w:name w:val="level1"/>
    <w:basedOn w:val="Normal"/>
    <w:uiPriority w:val="99"/>
    <w:rsid w:val="00B07925"/>
    <w:pPr>
      <w:spacing w:before="100" w:beforeAutospacing="1" w:after="100" w:afterAutospacing="1"/>
    </w:pPr>
  </w:style>
  <w:style w:type="character" w:styleId="Strong">
    <w:name w:val="Strong"/>
    <w:basedOn w:val="DefaultParagraphFont"/>
    <w:uiPriority w:val="22"/>
    <w:qFormat/>
    <w:rsid w:val="00FA5AAE"/>
    <w:rPr>
      <w:b/>
      <w:bCs/>
    </w:rPr>
  </w:style>
  <w:style w:type="character" w:styleId="Emphasis">
    <w:name w:val="Emphasis"/>
    <w:basedOn w:val="DefaultParagraphFont"/>
    <w:uiPriority w:val="20"/>
    <w:qFormat/>
    <w:rsid w:val="00FA5AAE"/>
    <w:rPr>
      <w:i/>
      <w:iCs/>
    </w:rPr>
  </w:style>
  <w:style w:type="table" w:styleId="TableGrid">
    <w:name w:val="Table Grid"/>
    <w:aliases w:val="A. Polis Table Grid"/>
    <w:basedOn w:val="TableNormal"/>
    <w:uiPriority w:val="39"/>
    <w:rsid w:val="00E9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56FC6"/>
    <w:pPr>
      <w:tabs>
        <w:tab w:val="center" w:pos="4320"/>
        <w:tab w:val="right" w:pos="8640"/>
      </w:tabs>
    </w:pPr>
    <w:rPr>
      <w:sz w:val="20"/>
      <w:szCs w:val="20"/>
    </w:rPr>
  </w:style>
  <w:style w:type="paragraph" w:styleId="Footer">
    <w:name w:val="footer"/>
    <w:basedOn w:val="Normal"/>
    <w:link w:val="FooterChar"/>
    <w:uiPriority w:val="99"/>
    <w:rsid w:val="00756FC6"/>
    <w:pPr>
      <w:tabs>
        <w:tab w:val="center" w:pos="4320"/>
        <w:tab w:val="right" w:pos="8640"/>
      </w:tabs>
    </w:pPr>
    <w:rPr>
      <w:sz w:val="20"/>
      <w:szCs w:val="20"/>
    </w:rPr>
  </w:style>
  <w:style w:type="character" w:styleId="PageNumber">
    <w:name w:val="page number"/>
    <w:basedOn w:val="DefaultParagraphFont"/>
    <w:rsid w:val="00756FC6"/>
  </w:style>
  <w:style w:type="paragraph" w:styleId="BodyTextIndent">
    <w:name w:val="Body Text Indent"/>
    <w:basedOn w:val="Normal"/>
    <w:link w:val="BodyTextIndentChar"/>
    <w:uiPriority w:val="99"/>
    <w:rsid w:val="00756FC6"/>
    <w:pPr>
      <w:ind w:firstLine="360"/>
    </w:pPr>
    <w:rPr>
      <w:szCs w:val="20"/>
    </w:rPr>
  </w:style>
  <w:style w:type="paragraph" w:styleId="BodyTextIndent2">
    <w:name w:val="Body Text Indent 2"/>
    <w:basedOn w:val="Normal"/>
    <w:link w:val="BodyTextIndent2Char"/>
    <w:uiPriority w:val="99"/>
    <w:rsid w:val="00756FC6"/>
    <w:pPr>
      <w:ind w:firstLine="720"/>
    </w:pPr>
    <w:rPr>
      <w:szCs w:val="20"/>
    </w:rPr>
  </w:style>
  <w:style w:type="paragraph" w:customStyle="1" w:styleId="ExDescription">
    <w:name w:val="Ex Description"/>
    <w:uiPriority w:val="99"/>
    <w:rsid w:val="00756FC6"/>
    <w:pPr>
      <w:spacing w:before="120"/>
      <w:ind w:left="720"/>
    </w:pPr>
    <w:rPr>
      <w:sz w:val="22"/>
    </w:rPr>
  </w:style>
  <w:style w:type="character" w:customStyle="1" w:styleId="FooterChar">
    <w:name w:val="Footer Char"/>
    <w:basedOn w:val="DefaultParagraphFont"/>
    <w:link w:val="Footer"/>
    <w:uiPriority w:val="99"/>
    <w:rsid w:val="009423E1"/>
  </w:style>
  <w:style w:type="character" w:customStyle="1" w:styleId="BodyTextChar">
    <w:name w:val="Body Text Char"/>
    <w:link w:val="BodyText"/>
    <w:rsid w:val="00043D24"/>
    <w:rPr>
      <w:sz w:val="24"/>
      <w:szCs w:val="24"/>
    </w:rPr>
  </w:style>
  <w:style w:type="character" w:customStyle="1" w:styleId="Heading1Char">
    <w:name w:val="Heading 1 Char"/>
    <w:basedOn w:val="DefaultParagraphFont"/>
    <w:link w:val="Heading1"/>
    <w:uiPriority w:val="9"/>
    <w:rsid w:val="00FA5AAE"/>
    <w:rPr>
      <w:rFonts w:asciiTheme="majorHAnsi" w:eastAsiaTheme="majorEastAsia" w:hAnsiTheme="majorHAnsi" w:cstheme="majorBidi"/>
      <w:color w:val="5D0C09" w:themeColor="accent1" w:themeShade="BF"/>
      <w:sz w:val="36"/>
      <w:szCs w:val="36"/>
    </w:rPr>
  </w:style>
  <w:style w:type="character" w:customStyle="1" w:styleId="Heading2Char">
    <w:name w:val="Heading 2 Char"/>
    <w:basedOn w:val="DefaultParagraphFont"/>
    <w:link w:val="Heading2"/>
    <w:uiPriority w:val="9"/>
    <w:rsid w:val="00190D09"/>
    <w:rPr>
      <w:rFonts w:asciiTheme="majorHAnsi" w:eastAsiaTheme="majorEastAsia" w:hAnsiTheme="majorHAnsi" w:cstheme="majorBidi"/>
      <w:color w:val="5D0C09" w:themeColor="accent1" w:themeShade="BF"/>
      <w:sz w:val="28"/>
      <w:szCs w:val="28"/>
    </w:rPr>
  </w:style>
  <w:style w:type="character" w:customStyle="1" w:styleId="Heading3Char">
    <w:name w:val="Heading 3 Char"/>
    <w:basedOn w:val="DefaultParagraphFont"/>
    <w:link w:val="Heading3"/>
    <w:uiPriority w:val="9"/>
    <w:rsid w:val="008634BB"/>
  </w:style>
  <w:style w:type="paragraph" w:styleId="ListParagraph">
    <w:name w:val="List Paragraph"/>
    <w:basedOn w:val="Normal"/>
    <w:uiPriority w:val="34"/>
    <w:qFormat/>
    <w:rsid w:val="00FA5AAE"/>
    <w:pPr>
      <w:ind w:left="720"/>
      <w:contextualSpacing/>
    </w:pPr>
  </w:style>
  <w:style w:type="paragraph" w:styleId="IntenseQuote">
    <w:name w:val="Intense Quote"/>
    <w:basedOn w:val="Normal"/>
    <w:next w:val="Normal"/>
    <w:link w:val="IntenseQuoteChar"/>
    <w:uiPriority w:val="30"/>
    <w:qFormat/>
    <w:rsid w:val="00FA5AAE"/>
    <w:pPr>
      <w:spacing w:before="100" w:beforeAutospacing="1" w:after="240"/>
      <w:ind w:left="864" w:right="864"/>
      <w:jc w:val="center"/>
    </w:pPr>
    <w:rPr>
      <w:rFonts w:asciiTheme="majorHAnsi" w:eastAsiaTheme="majorEastAsia" w:hAnsiTheme="majorHAnsi" w:cstheme="majorBidi"/>
      <w:color w:val="7D110C" w:themeColor="accent1"/>
      <w:sz w:val="28"/>
      <w:szCs w:val="28"/>
    </w:rPr>
  </w:style>
  <w:style w:type="character" w:customStyle="1" w:styleId="IntenseQuoteChar">
    <w:name w:val="Intense Quote Char"/>
    <w:basedOn w:val="DefaultParagraphFont"/>
    <w:link w:val="IntenseQuote"/>
    <w:uiPriority w:val="30"/>
    <w:rsid w:val="00FA5AAE"/>
    <w:rPr>
      <w:rFonts w:asciiTheme="majorHAnsi" w:eastAsiaTheme="majorEastAsia" w:hAnsiTheme="majorHAnsi" w:cstheme="majorBidi"/>
      <w:color w:val="7D110C" w:themeColor="accent1"/>
      <w:sz w:val="28"/>
      <w:szCs w:val="28"/>
    </w:rPr>
  </w:style>
  <w:style w:type="character" w:customStyle="1" w:styleId="BodyTextIndent2Char">
    <w:name w:val="Body Text Indent 2 Char"/>
    <w:link w:val="BodyTextIndent2"/>
    <w:uiPriority w:val="99"/>
    <w:rsid w:val="00113028"/>
    <w:rPr>
      <w:sz w:val="24"/>
    </w:rPr>
  </w:style>
  <w:style w:type="character" w:customStyle="1" w:styleId="Heading4Char">
    <w:name w:val="Heading 4 Char"/>
    <w:basedOn w:val="DefaultParagraphFont"/>
    <w:link w:val="Heading4"/>
    <w:uiPriority w:val="9"/>
    <w:rsid w:val="00FA5AAE"/>
    <w:rPr>
      <w:rFonts w:asciiTheme="majorHAnsi" w:eastAsiaTheme="majorEastAsia" w:hAnsiTheme="majorHAnsi" w:cstheme="majorBidi"/>
      <w:sz w:val="24"/>
      <w:szCs w:val="24"/>
    </w:rPr>
  </w:style>
  <w:style w:type="character" w:customStyle="1" w:styleId="BodyTextIndentChar">
    <w:name w:val="Body Text Indent Char"/>
    <w:link w:val="BodyTextIndent"/>
    <w:uiPriority w:val="99"/>
    <w:rsid w:val="008D658D"/>
    <w:rPr>
      <w:sz w:val="24"/>
    </w:rPr>
  </w:style>
  <w:style w:type="paragraph" w:styleId="PlainText">
    <w:name w:val="Plain Text"/>
    <w:basedOn w:val="Normal"/>
    <w:link w:val="PlainTextChar"/>
    <w:uiPriority w:val="99"/>
    <w:unhideWhenUsed/>
    <w:rsid w:val="008D658D"/>
    <w:rPr>
      <w:rFonts w:ascii="Consolas" w:eastAsia="Calibri" w:hAnsi="Consolas"/>
    </w:rPr>
  </w:style>
  <w:style w:type="character" w:customStyle="1" w:styleId="PlainTextChar">
    <w:name w:val="Plain Text Char"/>
    <w:link w:val="PlainText"/>
    <w:uiPriority w:val="99"/>
    <w:rsid w:val="008D658D"/>
    <w:rPr>
      <w:rFonts w:ascii="Consolas" w:eastAsia="Calibri" w:hAnsi="Consolas"/>
      <w:sz w:val="21"/>
      <w:szCs w:val="21"/>
    </w:rPr>
  </w:style>
  <w:style w:type="character" w:customStyle="1" w:styleId="Heading6Char">
    <w:name w:val="Heading 6 Char"/>
    <w:basedOn w:val="DefaultParagraphFont"/>
    <w:link w:val="Heading6"/>
    <w:uiPriority w:val="9"/>
    <w:rsid w:val="00FA5AA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FA5AA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FA5AAE"/>
    <w:rPr>
      <w:rFonts w:asciiTheme="majorHAnsi" w:eastAsiaTheme="majorEastAsia" w:hAnsiTheme="majorHAnsi" w:cstheme="majorBidi"/>
      <w:smallCaps/>
      <w:color w:val="595959" w:themeColor="text1" w:themeTint="A6"/>
    </w:rPr>
  </w:style>
  <w:style w:type="character" w:customStyle="1" w:styleId="Heading9Char">
    <w:name w:val="Heading 9 Char"/>
    <w:aliases w:val="Tables Char"/>
    <w:basedOn w:val="DefaultParagraphFont"/>
    <w:link w:val="Heading9"/>
    <w:uiPriority w:val="9"/>
    <w:rsid w:val="00FA5AAE"/>
    <w:rPr>
      <w:rFonts w:asciiTheme="majorHAnsi" w:eastAsiaTheme="majorEastAsia" w:hAnsiTheme="majorHAnsi" w:cstheme="majorBidi"/>
      <w:i/>
      <w:iCs/>
      <w:smallCaps/>
      <w:color w:val="595959" w:themeColor="text1" w:themeTint="A6"/>
    </w:rPr>
  </w:style>
  <w:style w:type="paragraph" w:styleId="z-TopofForm">
    <w:name w:val="HTML Top of Form"/>
    <w:basedOn w:val="Normal"/>
    <w:next w:val="Normal"/>
    <w:link w:val="z-TopofFormChar"/>
    <w:hidden/>
    <w:uiPriority w:val="99"/>
    <w:rsid w:val="006F5614"/>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6F5614"/>
    <w:rPr>
      <w:rFonts w:ascii="Arial" w:hAnsi="Arial" w:cs="Arial"/>
      <w:vanish/>
      <w:sz w:val="16"/>
      <w:szCs w:val="16"/>
    </w:rPr>
  </w:style>
  <w:style w:type="paragraph" w:styleId="z-BottomofForm">
    <w:name w:val="HTML Bottom of Form"/>
    <w:basedOn w:val="Normal"/>
    <w:next w:val="Normal"/>
    <w:link w:val="z-BottomofFormChar"/>
    <w:hidden/>
    <w:uiPriority w:val="99"/>
    <w:rsid w:val="006F5614"/>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6F5614"/>
    <w:rPr>
      <w:rFonts w:ascii="Arial" w:hAnsi="Arial" w:cs="Arial"/>
      <w:vanish/>
      <w:sz w:val="16"/>
      <w:szCs w:val="16"/>
    </w:rPr>
  </w:style>
  <w:style w:type="paragraph" w:customStyle="1" w:styleId="bodytext0">
    <w:name w:val="bodytext"/>
    <w:basedOn w:val="Normal"/>
    <w:uiPriority w:val="99"/>
    <w:rsid w:val="006F5614"/>
    <w:pPr>
      <w:spacing w:before="100" w:beforeAutospacing="1" w:after="100" w:afterAutospacing="1" w:line="240" w:lineRule="atLeast"/>
    </w:pPr>
    <w:rPr>
      <w:rFonts w:ascii="Verdana" w:hAnsi="Verdana"/>
      <w:color w:val="000000"/>
      <w:sz w:val="18"/>
      <w:szCs w:val="18"/>
    </w:rPr>
  </w:style>
  <w:style w:type="character" w:customStyle="1" w:styleId="submenubold1">
    <w:name w:val="submenubold1"/>
    <w:uiPriority w:val="99"/>
    <w:rsid w:val="006F5614"/>
    <w:rPr>
      <w:rFonts w:ascii="Verdana" w:hAnsi="Verdana" w:hint="default"/>
      <w:b/>
      <w:bCs/>
      <w:i w:val="0"/>
      <w:iCs w:val="0"/>
      <w:color w:val="000000"/>
      <w:sz w:val="17"/>
      <w:szCs w:val="17"/>
    </w:rPr>
  </w:style>
  <w:style w:type="character" w:customStyle="1" w:styleId="bodytext1">
    <w:name w:val="bodytext1"/>
    <w:uiPriority w:val="99"/>
    <w:rsid w:val="006F5614"/>
    <w:rPr>
      <w:rFonts w:ascii="Verdana" w:hAnsi="Verdana" w:hint="default"/>
      <w:color w:val="000000"/>
      <w:sz w:val="18"/>
      <w:szCs w:val="18"/>
    </w:rPr>
  </w:style>
  <w:style w:type="character" w:customStyle="1" w:styleId="bodytextsmall1">
    <w:name w:val="bodytext_small1"/>
    <w:uiPriority w:val="99"/>
    <w:rsid w:val="006F5614"/>
    <w:rPr>
      <w:rFonts w:ascii="Verdana" w:hAnsi="Verdana" w:hint="default"/>
      <w:color w:val="000000"/>
      <w:sz w:val="16"/>
      <w:szCs w:val="16"/>
    </w:rPr>
  </w:style>
  <w:style w:type="paragraph" w:customStyle="1" w:styleId="bodytextblackbold">
    <w:name w:val="bodytextblackbold"/>
    <w:basedOn w:val="Normal"/>
    <w:uiPriority w:val="99"/>
    <w:rsid w:val="006F5614"/>
    <w:pPr>
      <w:spacing w:before="45" w:after="105"/>
    </w:pPr>
    <w:rPr>
      <w:rFonts w:ascii="Verdana" w:hAnsi="Verdana"/>
      <w:b/>
      <w:bCs/>
      <w:color w:val="000000"/>
      <w:sz w:val="17"/>
      <w:szCs w:val="17"/>
    </w:rPr>
  </w:style>
  <w:style w:type="character" w:customStyle="1" w:styleId="txt12i1">
    <w:name w:val="txt12i1"/>
    <w:uiPriority w:val="99"/>
    <w:rsid w:val="006F5614"/>
    <w:rPr>
      <w:rFonts w:ascii="Arial" w:hAnsi="Arial" w:cs="Arial" w:hint="default"/>
      <w:i/>
      <w:iCs/>
      <w:sz w:val="18"/>
      <w:szCs w:val="18"/>
    </w:rPr>
  </w:style>
  <w:style w:type="character" w:customStyle="1" w:styleId="Heading5Char">
    <w:name w:val="Heading 5 Char"/>
    <w:basedOn w:val="DefaultParagraphFont"/>
    <w:link w:val="Heading5"/>
    <w:uiPriority w:val="9"/>
    <w:rsid w:val="00FA5AAE"/>
    <w:rPr>
      <w:rFonts w:asciiTheme="majorHAnsi" w:eastAsiaTheme="majorEastAsia" w:hAnsiTheme="majorHAnsi" w:cstheme="majorBidi"/>
      <w:i/>
      <w:iCs/>
      <w:sz w:val="22"/>
      <w:szCs w:val="22"/>
    </w:rPr>
  </w:style>
  <w:style w:type="character" w:customStyle="1" w:styleId="BalloonTextChar">
    <w:name w:val="Balloon Text Char"/>
    <w:link w:val="BalloonText"/>
    <w:uiPriority w:val="99"/>
    <w:semiHidden/>
    <w:rsid w:val="006F5614"/>
    <w:rPr>
      <w:rFonts w:ascii="Tahoma" w:hAnsi="Tahoma" w:cs="Tahoma"/>
      <w:sz w:val="16"/>
      <w:szCs w:val="16"/>
    </w:rPr>
  </w:style>
  <w:style w:type="character" w:customStyle="1" w:styleId="HeaderChar">
    <w:name w:val="Header Char"/>
    <w:basedOn w:val="DefaultParagraphFont"/>
    <w:link w:val="Header"/>
    <w:uiPriority w:val="99"/>
    <w:rsid w:val="006F5614"/>
  </w:style>
  <w:style w:type="paragraph" w:customStyle="1" w:styleId="a">
    <w:name w:val="a."/>
    <w:uiPriority w:val="99"/>
    <w:rsid w:val="006F5614"/>
    <w:pPr>
      <w:tabs>
        <w:tab w:val="left" w:pos="2160"/>
      </w:tabs>
      <w:ind w:left="2160" w:hanging="540"/>
    </w:pPr>
    <w:rPr>
      <w:rFonts w:ascii="Arial" w:hAnsi="Arial" w:cs="Arial"/>
      <w:b/>
      <w:bCs/>
      <w:sz w:val="22"/>
    </w:rPr>
  </w:style>
  <w:style w:type="paragraph" w:customStyle="1" w:styleId="Text1">
    <w:name w:val="Text (1)"/>
    <w:uiPriority w:val="99"/>
    <w:rsid w:val="006F5614"/>
    <w:pPr>
      <w:tabs>
        <w:tab w:val="left" w:pos="2700"/>
      </w:tabs>
      <w:ind w:left="2700" w:hanging="540"/>
      <w:jc w:val="both"/>
    </w:pPr>
    <w:rPr>
      <w:rFonts w:ascii="Arial" w:hAnsi="Arial" w:cs="Arial"/>
      <w:sz w:val="22"/>
    </w:rPr>
  </w:style>
  <w:style w:type="paragraph" w:customStyle="1" w:styleId="Texta">
    <w:name w:val="Text (a)"/>
    <w:uiPriority w:val="99"/>
    <w:rsid w:val="006F5614"/>
    <w:pPr>
      <w:tabs>
        <w:tab w:val="left" w:pos="3240"/>
      </w:tabs>
      <w:ind w:left="3240" w:hanging="540"/>
      <w:jc w:val="both"/>
    </w:pPr>
    <w:rPr>
      <w:rFonts w:ascii="Arial" w:hAnsi="Arial" w:cs="Arial"/>
      <w:sz w:val="22"/>
    </w:rPr>
  </w:style>
  <w:style w:type="paragraph" w:customStyle="1" w:styleId="TextLista">
    <w:name w:val="Text List a."/>
    <w:uiPriority w:val="99"/>
    <w:rsid w:val="006F5614"/>
    <w:pPr>
      <w:tabs>
        <w:tab w:val="left" w:pos="2160"/>
      </w:tabs>
      <w:ind w:left="2160" w:hanging="540"/>
      <w:jc w:val="both"/>
    </w:pPr>
    <w:rPr>
      <w:rFonts w:ascii="Arial" w:hAnsi="Arial" w:cs="Arial"/>
      <w:sz w:val="22"/>
    </w:rPr>
  </w:style>
  <w:style w:type="paragraph" w:customStyle="1" w:styleId="TableText">
    <w:name w:val="Table Text"/>
    <w:uiPriority w:val="99"/>
    <w:rsid w:val="006F5614"/>
    <w:rPr>
      <w:rFonts w:ascii="Arial" w:hAnsi="Arial" w:cs="Arial"/>
    </w:rPr>
  </w:style>
  <w:style w:type="character" w:styleId="CommentReference">
    <w:name w:val="annotation reference"/>
    <w:rsid w:val="006F5614"/>
    <w:rPr>
      <w:sz w:val="16"/>
      <w:szCs w:val="16"/>
    </w:rPr>
  </w:style>
  <w:style w:type="numbering" w:styleId="111111">
    <w:name w:val="Outline List 2"/>
    <w:basedOn w:val="NoList"/>
    <w:rsid w:val="006F5614"/>
    <w:pPr>
      <w:numPr>
        <w:numId w:val="1"/>
      </w:numPr>
    </w:pPr>
  </w:style>
  <w:style w:type="paragraph" w:styleId="CommentText">
    <w:name w:val="annotation text"/>
    <w:basedOn w:val="Normal"/>
    <w:link w:val="CommentTextChar"/>
    <w:rsid w:val="006F5614"/>
    <w:rPr>
      <w:sz w:val="20"/>
      <w:szCs w:val="20"/>
    </w:rPr>
  </w:style>
  <w:style w:type="character" w:customStyle="1" w:styleId="CommentTextChar">
    <w:name w:val="Comment Text Char"/>
    <w:basedOn w:val="DefaultParagraphFont"/>
    <w:link w:val="CommentText"/>
    <w:rsid w:val="006F5614"/>
  </w:style>
  <w:style w:type="paragraph" w:styleId="CommentSubject">
    <w:name w:val="annotation subject"/>
    <w:basedOn w:val="CommentText"/>
    <w:next w:val="CommentText"/>
    <w:link w:val="CommentSubjectChar"/>
    <w:rsid w:val="006F5614"/>
    <w:rPr>
      <w:b/>
      <w:bCs/>
    </w:rPr>
  </w:style>
  <w:style w:type="character" w:customStyle="1" w:styleId="CommentSubjectChar">
    <w:name w:val="Comment Subject Char"/>
    <w:link w:val="CommentSubject"/>
    <w:rsid w:val="006F5614"/>
    <w:rPr>
      <w:b/>
      <w:bCs/>
    </w:rPr>
  </w:style>
  <w:style w:type="paragraph" w:customStyle="1" w:styleId="xl24">
    <w:name w:val="xl24"/>
    <w:basedOn w:val="Normal"/>
    <w:uiPriority w:val="99"/>
    <w:rsid w:val="006F5614"/>
    <w:pPr>
      <w:spacing w:before="100" w:beforeAutospacing="1" w:after="100" w:afterAutospacing="1"/>
      <w:jc w:val="center"/>
      <w:textAlignment w:val="top"/>
    </w:pPr>
    <w:rPr>
      <w:rFonts w:ascii="Arial" w:hAnsi="Arial" w:cs="Arial"/>
      <w:b/>
      <w:bCs/>
    </w:rPr>
  </w:style>
  <w:style w:type="paragraph" w:customStyle="1" w:styleId="xl25">
    <w:name w:val="xl25"/>
    <w:basedOn w:val="Normal"/>
    <w:uiPriority w:val="99"/>
    <w:rsid w:val="006F5614"/>
    <w:pPr>
      <w:spacing w:before="100" w:beforeAutospacing="1" w:after="100" w:afterAutospacing="1"/>
      <w:jc w:val="center"/>
      <w:textAlignment w:val="top"/>
    </w:pPr>
  </w:style>
  <w:style w:type="paragraph" w:customStyle="1" w:styleId="xl26">
    <w:name w:val="xl26"/>
    <w:basedOn w:val="Normal"/>
    <w:uiPriority w:val="99"/>
    <w:rsid w:val="006F5614"/>
    <w:pPr>
      <w:spacing w:before="100" w:beforeAutospacing="1" w:after="100" w:afterAutospacing="1"/>
      <w:jc w:val="center"/>
      <w:textAlignment w:val="top"/>
    </w:pPr>
  </w:style>
  <w:style w:type="table" w:styleId="TableSimple1">
    <w:name w:val="Table Simple 1"/>
    <w:basedOn w:val="TableNormal"/>
    <w:uiPriority w:val="99"/>
    <w:rsid w:val="006F5614"/>
    <w:pPr>
      <w:ind w:left="50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uiPriority w:val="99"/>
    <w:rsid w:val="006F5614"/>
    <w:rP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uiPriority w:val="99"/>
    <w:rsid w:val="006F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SBodyTextChar">
    <w:name w:val="URS Body Text Char"/>
    <w:basedOn w:val="Normal"/>
    <w:link w:val="URSBodyTextCharChar"/>
    <w:uiPriority w:val="99"/>
    <w:rsid w:val="006F5614"/>
    <w:pPr>
      <w:spacing w:after="240"/>
    </w:pPr>
    <w:rPr>
      <w:rFonts w:ascii="Arial" w:hAnsi="Arial"/>
      <w:sz w:val="22"/>
      <w:szCs w:val="20"/>
    </w:rPr>
  </w:style>
  <w:style w:type="character" w:customStyle="1" w:styleId="URSBodyTextCharChar">
    <w:name w:val="URS Body Text Char Char"/>
    <w:link w:val="URSBodyTextChar"/>
    <w:uiPriority w:val="99"/>
    <w:rsid w:val="006F5614"/>
    <w:rPr>
      <w:rFonts w:ascii="Arial" w:hAnsi="Arial"/>
      <w:sz w:val="22"/>
    </w:rPr>
  </w:style>
  <w:style w:type="paragraph" w:customStyle="1" w:styleId="StyleURSBodyTextBoldCharCharChar">
    <w:name w:val="Style URS Body Text + Bold Char Char Char"/>
    <w:basedOn w:val="URSBodyTextChar"/>
    <w:link w:val="StyleURSBodyTextBoldCharCharCharChar"/>
    <w:uiPriority w:val="99"/>
    <w:rsid w:val="006F5614"/>
    <w:pPr>
      <w:spacing w:before="120" w:after="120"/>
    </w:pPr>
    <w:rPr>
      <w:b/>
      <w:bCs/>
    </w:rPr>
  </w:style>
  <w:style w:type="character" w:customStyle="1" w:styleId="StyleURSBodyTextBoldCharCharCharChar">
    <w:name w:val="Style URS Body Text + Bold Char Char Char Char"/>
    <w:link w:val="StyleURSBodyTextBoldCharCharChar"/>
    <w:uiPriority w:val="99"/>
    <w:rsid w:val="006F5614"/>
    <w:rPr>
      <w:rFonts w:ascii="Arial" w:hAnsi="Arial"/>
      <w:b/>
      <w:bCs/>
      <w:sz w:val="22"/>
    </w:rPr>
  </w:style>
  <w:style w:type="character" w:customStyle="1" w:styleId="BodyTextIndent2Char1">
    <w:name w:val="Body Text Indent 2 Char1"/>
    <w:uiPriority w:val="99"/>
    <w:rsid w:val="006F5614"/>
    <w:rPr>
      <w:sz w:val="24"/>
    </w:rPr>
  </w:style>
  <w:style w:type="paragraph" w:customStyle="1" w:styleId="Caption1">
    <w:name w:val="Caption1"/>
    <w:basedOn w:val="Normal"/>
    <w:uiPriority w:val="99"/>
    <w:rsid w:val="006F5614"/>
    <w:pPr>
      <w:spacing w:before="100" w:beforeAutospacing="1" w:after="288"/>
      <w:ind w:left="489" w:hanging="490"/>
    </w:pPr>
    <w:rPr>
      <w:rFonts w:ascii="Verdana" w:hAnsi="Verdana"/>
      <w:b/>
      <w:bCs/>
    </w:rPr>
  </w:style>
  <w:style w:type="table" w:styleId="LightShading">
    <w:name w:val="Light Shading"/>
    <w:basedOn w:val="TableNormal"/>
    <w:uiPriority w:val="60"/>
    <w:rsid w:val="006F56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F56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l65">
    <w:name w:val="xl65"/>
    <w:basedOn w:val="Normal"/>
    <w:rsid w:val="006F5614"/>
    <w:pP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6F5614"/>
    <w:pPr>
      <w:spacing w:before="100" w:beforeAutospacing="1" w:after="100" w:afterAutospacing="1"/>
      <w:textAlignment w:val="center"/>
    </w:pPr>
    <w:rPr>
      <w:rFonts w:ascii="Arial" w:hAnsi="Arial" w:cs="Arial"/>
      <w:sz w:val="16"/>
      <w:szCs w:val="16"/>
    </w:rPr>
  </w:style>
  <w:style w:type="paragraph" w:customStyle="1" w:styleId="xl70">
    <w:name w:val="xl70"/>
    <w:basedOn w:val="Normal"/>
    <w:rsid w:val="006F5614"/>
    <w:pPr>
      <w:spacing w:before="100" w:beforeAutospacing="1" w:after="100" w:afterAutospacing="1"/>
      <w:textAlignment w:val="center"/>
    </w:pPr>
    <w:rPr>
      <w:rFonts w:ascii="Arial" w:hAnsi="Arial" w:cs="Arial"/>
      <w:sz w:val="16"/>
      <w:szCs w:val="16"/>
    </w:rPr>
  </w:style>
  <w:style w:type="paragraph" w:customStyle="1" w:styleId="xl71">
    <w:name w:val="xl71"/>
    <w:basedOn w:val="Normal"/>
    <w:rsid w:val="006F5614"/>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6F5614"/>
    <w:pPr>
      <w:spacing w:before="100" w:beforeAutospacing="1" w:after="100" w:afterAutospacing="1"/>
      <w:textAlignment w:val="center"/>
    </w:pPr>
    <w:rPr>
      <w:rFonts w:ascii="Arial" w:hAnsi="Arial" w:cs="Arial"/>
      <w:sz w:val="16"/>
      <w:szCs w:val="16"/>
    </w:rPr>
  </w:style>
  <w:style w:type="paragraph" w:styleId="TOCHeading">
    <w:name w:val="TOC Heading"/>
    <w:basedOn w:val="Heading1"/>
    <w:next w:val="Normal"/>
    <w:uiPriority w:val="39"/>
    <w:unhideWhenUsed/>
    <w:qFormat/>
    <w:rsid w:val="00FA5AAE"/>
    <w:pPr>
      <w:outlineLvl w:val="9"/>
    </w:pPr>
  </w:style>
  <w:style w:type="paragraph" w:styleId="TOC1">
    <w:name w:val="toc 1"/>
    <w:basedOn w:val="Normal"/>
    <w:next w:val="Normal"/>
    <w:autoRedefine/>
    <w:uiPriority w:val="39"/>
    <w:rsid w:val="0038734B"/>
    <w:pPr>
      <w:tabs>
        <w:tab w:val="right" w:leader="dot" w:pos="9422"/>
      </w:tabs>
    </w:pPr>
    <w:rPr>
      <w:rFonts w:ascii="Calibri" w:hAnsi="Calibri" w:cs="Arial"/>
      <w:b/>
      <w:bCs/>
      <w:noProof/>
      <w:sz w:val="22"/>
      <w:szCs w:val="22"/>
    </w:rPr>
  </w:style>
  <w:style w:type="paragraph" w:styleId="TOC2">
    <w:name w:val="toc 2"/>
    <w:basedOn w:val="Normal"/>
    <w:next w:val="Normal"/>
    <w:autoRedefine/>
    <w:uiPriority w:val="39"/>
    <w:rsid w:val="008B797C"/>
    <w:pPr>
      <w:tabs>
        <w:tab w:val="left" w:pos="630"/>
        <w:tab w:val="right" w:leader="dot" w:pos="9422"/>
      </w:tabs>
      <w:ind w:left="240"/>
    </w:pPr>
    <w:rPr>
      <w:bCs/>
      <w:noProof/>
    </w:rPr>
  </w:style>
  <w:style w:type="paragraph" w:styleId="TOC3">
    <w:name w:val="toc 3"/>
    <w:basedOn w:val="Normal"/>
    <w:next w:val="Normal"/>
    <w:autoRedefine/>
    <w:uiPriority w:val="39"/>
    <w:rsid w:val="007E71CF"/>
    <w:pPr>
      <w:tabs>
        <w:tab w:val="left" w:pos="360"/>
        <w:tab w:val="right" w:leader="dot" w:pos="9422"/>
      </w:tabs>
    </w:pPr>
  </w:style>
  <w:style w:type="paragraph" w:styleId="TOC4">
    <w:name w:val="toc 4"/>
    <w:basedOn w:val="Normal"/>
    <w:next w:val="Normal"/>
    <w:autoRedefine/>
    <w:uiPriority w:val="39"/>
    <w:rsid w:val="006F5614"/>
    <w:pPr>
      <w:tabs>
        <w:tab w:val="left" w:pos="1530"/>
        <w:tab w:val="right" w:leader="dot" w:pos="9422"/>
      </w:tabs>
      <w:ind w:left="720"/>
    </w:pPr>
  </w:style>
  <w:style w:type="paragraph" w:styleId="TOC5">
    <w:name w:val="toc 5"/>
    <w:basedOn w:val="Normal"/>
    <w:next w:val="Normal"/>
    <w:autoRedefine/>
    <w:uiPriority w:val="39"/>
    <w:unhideWhenUsed/>
    <w:rsid w:val="006F561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F561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F561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F561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F5614"/>
    <w:pPr>
      <w:spacing w:after="100" w:line="276" w:lineRule="auto"/>
      <w:ind w:left="1760"/>
    </w:pPr>
    <w:rPr>
      <w:rFonts w:ascii="Calibri" w:hAnsi="Calibri"/>
      <w:sz w:val="22"/>
      <w:szCs w:val="22"/>
    </w:rPr>
  </w:style>
  <w:style w:type="paragraph" w:customStyle="1" w:styleId="container1table1">
    <w:name w:val="container1table1"/>
    <w:basedOn w:val="Normal"/>
    <w:uiPriority w:val="99"/>
    <w:rsid w:val="006F5614"/>
    <w:pPr>
      <w:pBdr>
        <w:right w:val="single" w:sz="6" w:space="0" w:color="999999"/>
      </w:pBdr>
      <w:spacing w:before="100" w:beforeAutospacing="1" w:after="167"/>
    </w:pPr>
  </w:style>
  <w:style w:type="paragraph" w:styleId="Revision">
    <w:name w:val="Revision"/>
    <w:hidden/>
    <w:uiPriority w:val="99"/>
    <w:semiHidden/>
    <w:rsid w:val="006F5614"/>
    <w:rPr>
      <w:sz w:val="24"/>
      <w:szCs w:val="24"/>
    </w:rPr>
  </w:style>
  <w:style w:type="paragraph" w:customStyle="1" w:styleId="xl73">
    <w:name w:val="xl73"/>
    <w:basedOn w:val="Normal"/>
    <w:rsid w:val="006728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74">
    <w:name w:val="xl74"/>
    <w:basedOn w:val="Normal"/>
    <w:rsid w:val="0067284F"/>
    <w:pPr>
      <w:spacing w:before="100" w:beforeAutospacing="1" w:after="100" w:afterAutospacing="1"/>
      <w:textAlignment w:val="top"/>
    </w:pPr>
  </w:style>
  <w:style w:type="paragraph" w:customStyle="1" w:styleId="BodyTextFirst">
    <w:name w:val="BodyTextFirst"/>
    <w:basedOn w:val="Normal"/>
    <w:uiPriority w:val="99"/>
    <w:rsid w:val="000C42C6"/>
    <w:pPr>
      <w:spacing w:after="240"/>
      <w:ind w:left="1440" w:firstLine="720"/>
    </w:pPr>
    <w:rPr>
      <w:color w:val="000000"/>
      <w:szCs w:val="20"/>
    </w:rPr>
  </w:style>
  <w:style w:type="character" w:customStyle="1" w:styleId="org">
    <w:name w:val="org"/>
    <w:basedOn w:val="DefaultParagraphFont"/>
    <w:uiPriority w:val="99"/>
    <w:rsid w:val="0087040A"/>
  </w:style>
  <w:style w:type="character" w:customStyle="1" w:styleId="updated">
    <w:name w:val="updated"/>
    <w:basedOn w:val="DefaultParagraphFont"/>
    <w:uiPriority w:val="99"/>
    <w:rsid w:val="0087040A"/>
  </w:style>
  <w:style w:type="paragraph" w:styleId="EndnoteText">
    <w:name w:val="endnote text"/>
    <w:basedOn w:val="Normal"/>
    <w:link w:val="EndnoteTextChar"/>
    <w:uiPriority w:val="99"/>
    <w:unhideWhenUsed/>
    <w:rsid w:val="002663E3"/>
    <w:rPr>
      <w:rFonts w:ascii="Calibri" w:hAnsi="Calibri"/>
      <w:sz w:val="20"/>
      <w:szCs w:val="20"/>
    </w:rPr>
  </w:style>
  <w:style w:type="character" w:customStyle="1" w:styleId="EndnoteTextChar">
    <w:name w:val="Endnote Text Char"/>
    <w:link w:val="EndnoteText"/>
    <w:uiPriority w:val="99"/>
    <w:rsid w:val="002663E3"/>
    <w:rPr>
      <w:rFonts w:ascii="Calibri" w:eastAsia="Times New Roman" w:hAnsi="Calibri" w:cs="Times New Roman"/>
    </w:rPr>
  </w:style>
  <w:style w:type="character" w:styleId="EndnoteReference">
    <w:name w:val="endnote reference"/>
    <w:uiPriority w:val="99"/>
    <w:unhideWhenUsed/>
    <w:rsid w:val="002663E3"/>
    <w:rPr>
      <w:vertAlign w:val="superscript"/>
    </w:rPr>
  </w:style>
  <w:style w:type="paragraph" w:styleId="FootnoteText">
    <w:name w:val="footnote text"/>
    <w:basedOn w:val="Normal"/>
    <w:link w:val="FootnoteTextChar"/>
    <w:uiPriority w:val="99"/>
    <w:unhideWhenUsed/>
    <w:rsid w:val="0015149A"/>
    <w:rPr>
      <w:rFonts w:ascii="Calibri" w:eastAsia="Calibri" w:hAnsi="Calibri"/>
      <w:sz w:val="20"/>
      <w:szCs w:val="20"/>
    </w:rPr>
  </w:style>
  <w:style w:type="character" w:customStyle="1" w:styleId="FootnoteTextChar">
    <w:name w:val="Footnote Text Char"/>
    <w:link w:val="FootnoteText"/>
    <w:uiPriority w:val="99"/>
    <w:rsid w:val="0015149A"/>
    <w:rPr>
      <w:rFonts w:ascii="Calibri" w:eastAsia="Calibri" w:hAnsi="Calibri"/>
    </w:rPr>
  </w:style>
  <w:style w:type="character" w:styleId="FootnoteReference">
    <w:name w:val="footnote reference"/>
    <w:uiPriority w:val="99"/>
    <w:unhideWhenUsed/>
    <w:rsid w:val="0015149A"/>
    <w:rPr>
      <w:vertAlign w:val="superscript"/>
    </w:rPr>
  </w:style>
  <w:style w:type="paragraph" w:styleId="NoSpacing">
    <w:name w:val="No Spacing"/>
    <w:link w:val="NoSpacingChar"/>
    <w:uiPriority w:val="1"/>
    <w:qFormat/>
    <w:rsid w:val="00FA5AAE"/>
    <w:pPr>
      <w:spacing w:after="0" w:line="240" w:lineRule="auto"/>
    </w:pPr>
  </w:style>
  <w:style w:type="paragraph" w:styleId="TableofFigures">
    <w:name w:val="table of figures"/>
    <w:basedOn w:val="Normal"/>
    <w:next w:val="Normal"/>
    <w:uiPriority w:val="99"/>
    <w:rsid w:val="00847672"/>
    <w:rPr>
      <w:rFonts w:ascii="Arial" w:hAnsi="Arial"/>
      <w:sz w:val="22"/>
      <w:szCs w:val="22"/>
    </w:rPr>
  </w:style>
  <w:style w:type="paragraph" w:customStyle="1" w:styleId="Default">
    <w:name w:val="Default"/>
    <w:rsid w:val="00847672"/>
    <w:pPr>
      <w:autoSpaceDE w:val="0"/>
      <w:autoSpaceDN w:val="0"/>
      <w:adjustRightInd w:val="0"/>
    </w:pPr>
    <w:rPr>
      <w:rFonts w:ascii="Calibri" w:hAnsi="Calibri" w:cs="Calibri"/>
      <w:color w:val="000000"/>
      <w:sz w:val="24"/>
      <w:szCs w:val="24"/>
    </w:rPr>
  </w:style>
  <w:style w:type="paragraph" w:customStyle="1" w:styleId="IDHSNormal">
    <w:name w:val="IDHS_Normal"/>
    <w:basedOn w:val="Normal"/>
    <w:link w:val="IDHSNormalChar"/>
    <w:uiPriority w:val="99"/>
    <w:rsid w:val="001E08AF"/>
    <w:pPr>
      <w:keepNext/>
      <w:keepLines/>
      <w:spacing w:after="240" w:line="276" w:lineRule="auto"/>
      <w:jc w:val="both"/>
    </w:pPr>
    <w:rPr>
      <w:rFonts w:ascii="Minion Pro" w:hAnsi="Minion Pro"/>
      <w:szCs w:val="26"/>
    </w:rPr>
  </w:style>
  <w:style w:type="character" w:customStyle="1" w:styleId="IDHSNormalChar">
    <w:name w:val="IDHS_Normal Char"/>
    <w:link w:val="IDHSNormal"/>
    <w:uiPriority w:val="99"/>
    <w:rsid w:val="001E08AF"/>
    <w:rPr>
      <w:rFonts w:ascii="Minion Pro" w:hAnsi="Minion Pro"/>
      <w:sz w:val="21"/>
      <w:szCs w:val="26"/>
    </w:rPr>
  </w:style>
  <w:style w:type="paragraph" w:customStyle="1" w:styleId="TableFigure">
    <w:name w:val="Table/Figure"/>
    <w:basedOn w:val="Caption"/>
    <w:link w:val="TableFigureChar"/>
    <w:qFormat/>
    <w:rsid w:val="008634BB"/>
    <w:pPr>
      <w:keepNext/>
      <w:spacing w:after="200" w:line="276" w:lineRule="auto"/>
    </w:pPr>
    <w:rPr>
      <w:rFonts w:cs="Arial"/>
      <w:b w:val="0"/>
      <w:bCs w:val="0"/>
      <w:iCs/>
      <w:color w:val="auto"/>
      <w:sz w:val="22"/>
      <w:szCs w:val="22"/>
    </w:rPr>
  </w:style>
  <w:style w:type="character" w:customStyle="1" w:styleId="TableFigureChar">
    <w:name w:val="Table/Figure Char"/>
    <w:link w:val="TableFigure"/>
    <w:rsid w:val="008634BB"/>
    <w:rPr>
      <w:rFonts w:cs="Arial"/>
      <w:iCs/>
      <w:sz w:val="22"/>
      <w:szCs w:val="22"/>
    </w:rPr>
  </w:style>
  <w:style w:type="paragraph" w:styleId="Caption">
    <w:name w:val="caption"/>
    <w:basedOn w:val="Normal"/>
    <w:next w:val="Normal"/>
    <w:link w:val="CaptionChar"/>
    <w:uiPriority w:val="35"/>
    <w:unhideWhenUsed/>
    <w:qFormat/>
    <w:rsid w:val="00FA5AAE"/>
    <w:pPr>
      <w:spacing w:line="240" w:lineRule="auto"/>
    </w:pPr>
    <w:rPr>
      <w:b/>
      <w:bCs/>
      <w:color w:val="404040" w:themeColor="text1" w:themeTint="BF"/>
      <w:sz w:val="20"/>
      <w:szCs w:val="20"/>
    </w:rPr>
  </w:style>
  <w:style w:type="character" w:customStyle="1" w:styleId="CaptionChar">
    <w:name w:val="Caption Char"/>
    <w:link w:val="Caption"/>
    <w:uiPriority w:val="35"/>
    <w:rsid w:val="00DC75DF"/>
    <w:rPr>
      <w:b/>
      <w:bCs/>
      <w:color w:val="404040" w:themeColor="text1" w:themeTint="BF"/>
      <w:sz w:val="20"/>
      <w:szCs w:val="20"/>
    </w:rPr>
  </w:style>
  <w:style w:type="paragraph" w:customStyle="1" w:styleId="Caption11">
    <w:name w:val="Caption11"/>
    <w:basedOn w:val="Normal"/>
    <w:uiPriority w:val="99"/>
    <w:rsid w:val="00B70F4E"/>
    <w:pPr>
      <w:spacing w:before="100" w:beforeAutospacing="1" w:after="288" w:line="276" w:lineRule="auto"/>
      <w:ind w:left="489" w:hanging="490"/>
    </w:pPr>
    <w:rPr>
      <w:rFonts w:ascii="Verdana" w:hAnsi="Verdana" w:cs="Verdana"/>
      <w:b/>
      <w:bCs/>
      <w:sz w:val="22"/>
      <w:szCs w:val="22"/>
    </w:rPr>
  </w:style>
  <w:style w:type="table" w:customStyle="1" w:styleId="LightShading1">
    <w:name w:val="Light Shading1"/>
    <w:uiPriority w:val="99"/>
    <w:rsid w:val="00B70F4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B70F4E"/>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PlainTable11">
    <w:name w:val="Plain Table 11"/>
    <w:uiPriority w:val="99"/>
    <w:rsid w:val="00B70F4E"/>
    <w:rPr>
      <w:rFonts w:ascii="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uiPriority w:val="99"/>
    <w:rsid w:val="00B70F4E"/>
    <w:rPr>
      <w:rFonts w:ascii="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styleId="TableGrid2">
    <w:name w:val="Table Grid 2"/>
    <w:basedOn w:val="TableNormal"/>
    <w:uiPriority w:val="99"/>
    <w:rsid w:val="00B70F4E"/>
    <w:pPr>
      <w:spacing w:after="200" w:line="276" w:lineRule="auto"/>
    </w:pPr>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uiPriority w:val="99"/>
    <w:rsid w:val="00B70F4E"/>
    <w:pPr>
      <w:spacing w:after="200" w:line="276" w:lineRule="auto"/>
    </w:pPr>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B70F4E"/>
    <w:pPr>
      <w:spacing w:after="200" w:line="276" w:lineRule="auto"/>
    </w:pPr>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harChar9">
    <w:name w:val="Char Char9"/>
    <w:uiPriority w:val="99"/>
    <w:rsid w:val="00B70F4E"/>
  </w:style>
  <w:style w:type="character" w:customStyle="1" w:styleId="CharChar10">
    <w:name w:val="Char Char10"/>
    <w:uiPriority w:val="99"/>
    <w:rsid w:val="00B70F4E"/>
  </w:style>
  <w:style w:type="character" w:styleId="HTMLCite">
    <w:name w:val="HTML Cite"/>
    <w:rsid w:val="00B70F4E"/>
    <w:rPr>
      <w:i/>
      <w:iCs/>
    </w:rPr>
  </w:style>
  <w:style w:type="paragraph" w:styleId="HTMLPreformatted">
    <w:name w:val="HTML Preformatted"/>
    <w:basedOn w:val="Normal"/>
    <w:link w:val="HTMLPreformattedChar"/>
    <w:uiPriority w:val="99"/>
    <w:rsid w:val="00B7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70F4E"/>
    <w:rPr>
      <w:rFonts w:ascii="Courier New" w:hAnsi="Courier New" w:cs="Courier New"/>
    </w:rPr>
  </w:style>
  <w:style w:type="paragraph" w:customStyle="1" w:styleId="IDHSTables">
    <w:name w:val="IDHS_Tables"/>
    <w:basedOn w:val="IDHSNormal"/>
    <w:link w:val="IDHSTablesChar"/>
    <w:rsid w:val="00B70F4E"/>
    <w:pPr>
      <w:spacing w:after="120"/>
    </w:pPr>
    <w:rPr>
      <w:rFonts w:ascii="Adobe Heiti Std R" w:hAnsi="Adobe Heiti Std R"/>
      <w:sz w:val="18"/>
    </w:rPr>
  </w:style>
  <w:style w:type="character" w:customStyle="1" w:styleId="IDHSTablesChar">
    <w:name w:val="IDHS_Tables Char"/>
    <w:link w:val="IDHSTables"/>
    <w:rsid w:val="00B70F4E"/>
    <w:rPr>
      <w:rFonts w:ascii="Adobe Heiti Std R" w:hAnsi="Adobe Heiti Std R"/>
      <w:sz w:val="18"/>
      <w:szCs w:val="26"/>
    </w:rPr>
  </w:style>
  <w:style w:type="paragraph" w:customStyle="1" w:styleId="TableCaption">
    <w:name w:val="Table Caption"/>
    <w:basedOn w:val="Caption"/>
    <w:link w:val="TableCaptionChar"/>
    <w:autoRedefine/>
    <w:rsid w:val="00B70F4E"/>
    <w:pPr>
      <w:keepNext/>
      <w:tabs>
        <w:tab w:val="center" w:pos="4680"/>
      </w:tabs>
      <w:jc w:val="center"/>
    </w:pPr>
    <w:rPr>
      <w:rFonts w:ascii="Calibri" w:hAnsi="Calibri" w:cs="Calibri"/>
      <w:b w:val="0"/>
      <w:bCs w:val="0"/>
      <w:i/>
      <w:iCs/>
      <w:color w:val="1F497D"/>
      <w:sz w:val="18"/>
      <w:szCs w:val="18"/>
    </w:rPr>
  </w:style>
  <w:style w:type="numbering" w:customStyle="1" w:styleId="MHMPChapterLabels">
    <w:name w:val="MHMP Chapter Labels"/>
    <w:rsid w:val="00B70F4E"/>
    <w:pPr>
      <w:numPr>
        <w:numId w:val="2"/>
      </w:numPr>
    </w:pPr>
  </w:style>
  <w:style w:type="numbering" w:customStyle="1" w:styleId="Style1">
    <w:name w:val="Style1"/>
    <w:rsid w:val="00B70F4E"/>
    <w:pPr>
      <w:numPr>
        <w:numId w:val="3"/>
      </w:numPr>
    </w:pPr>
  </w:style>
  <w:style w:type="character" w:customStyle="1" w:styleId="TableCaptionChar">
    <w:name w:val="Table Caption Char"/>
    <w:link w:val="TableCaption"/>
    <w:rsid w:val="00B70F4E"/>
    <w:rPr>
      <w:rFonts w:ascii="Calibri" w:hAnsi="Calibri" w:cs="Calibri"/>
      <w:i/>
      <w:iCs/>
      <w:color w:val="1F497D"/>
      <w:sz w:val="18"/>
      <w:szCs w:val="18"/>
    </w:rPr>
  </w:style>
  <w:style w:type="character" w:customStyle="1" w:styleId="italic">
    <w:name w:val="italic"/>
    <w:rsid w:val="00B70F4E"/>
  </w:style>
  <w:style w:type="character" w:customStyle="1" w:styleId="headline1">
    <w:name w:val="headline1"/>
    <w:rsid w:val="00B70F4E"/>
  </w:style>
  <w:style w:type="character" w:customStyle="1" w:styleId="CharChar1">
    <w:name w:val="Char Char1"/>
    <w:rsid w:val="00B70F4E"/>
    <w:rPr>
      <w:rFonts w:ascii="Arial" w:hAnsi="Arial"/>
      <w:sz w:val="22"/>
      <w:szCs w:val="22"/>
      <w:lang w:val="en-US" w:eastAsia="en-US" w:bidi="ar-SA"/>
    </w:rPr>
  </w:style>
  <w:style w:type="paragraph" w:customStyle="1" w:styleId="xl63">
    <w:name w:val="xl63"/>
    <w:basedOn w:val="Normal"/>
    <w:rsid w:val="00B70F4E"/>
    <w:pPr>
      <w:pBdr>
        <w:top w:val="single" w:sz="8"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4">
    <w:name w:val="xl64"/>
    <w:basedOn w:val="Normal"/>
    <w:rsid w:val="00B70F4E"/>
    <w:pPr>
      <w:pBdr>
        <w:top w:val="single" w:sz="8" w:space="0" w:color="000000"/>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character" w:customStyle="1" w:styleId="date-display-single">
    <w:name w:val="date-display-single"/>
    <w:basedOn w:val="DefaultParagraphFont"/>
    <w:rsid w:val="006A3DCE"/>
  </w:style>
  <w:style w:type="character" w:customStyle="1" w:styleId="mw-headline">
    <w:name w:val="mw-headline"/>
    <w:basedOn w:val="DefaultParagraphFont"/>
    <w:rsid w:val="00B8001F"/>
  </w:style>
  <w:style w:type="table" w:customStyle="1" w:styleId="TableGrid10">
    <w:name w:val="Table Grid1"/>
    <w:basedOn w:val="TableNormal"/>
    <w:next w:val="TableGrid"/>
    <w:uiPriority w:val="39"/>
    <w:rsid w:val="00830C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x-headline3">
    <w:name w:val="blox-headline3"/>
    <w:rsid w:val="00140D93"/>
    <w:rPr>
      <w:b/>
      <w:bCs/>
      <w:color w:val="222222"/>
    </w:rPr>
  </w:style>
  <w:style w:type="paragraph" w:styleId="HTMLAddress">
    <w:name w:val="HTML Address"/>
    <w:basedOn w:val="Normal"/>
    <w:link w:val="HTMLAddressChar"/>
    <w:uiPriority w:val="99"/>
    <w:unhideWhenUsed/>
    <w:rsid w:val="00BF10BE"/>
  </w:style>
  <w:style w:type="character" w:customStyle="1" w:styleId="HTMLAddressChar">
    <w:name w:val="HTML Address Char"/>
    <w:link w:val="HTMLAddress"/>
    <w:uiPriority w:val="99"/>
    <w:rsid w:val="00BF10BE"/>
    <w:rPr>
      <w:sz w:val="24"/>
      <w:szCs w:val="24"/>
    </w:rPr>
  </w:style>
  <w:style w:type="character" w:customStyle="1" w:styleId="screen-reader-text">
    <w:name w:val="screen-reader-text"/>
    <w:rsid w:val="00BF10BE"/>
  </w:style>
  <w:style w:type="paragraph" w:customStyle="1" w:styleId="copyright">
    <w:name w:val="copyright"/>
    <w:basedOn w:val="Normal"/>
    <w:rsid w:val="00BF10BE"/>
    <w:pPr>
      <w:spacing w:after="150"/>
    </w:pPr>
  </w:style>
  <w:style w:type="paragraph" w:customStyle="1" w:styleId="styledphotocaption1">
    <w:name w:val="styledphotocaption1"/>
    <w:basedOn w:val="Normal"/>
    <w:rsid w:val="000B14D5"/>
    <w:pPr>
      <w:ind w:left="75" w:right="225"/>
    </w:pPr>
    <w:rPr>
      <w:color w:val="FFFFFF"/>
      <w:sz w:val="14"/>
      <w:szCs w:val="14"/>
    </w:rPr>
  </w:style>
  <w:style w:type="paragraph" w:customStyle="1" w:styleId="photocredit">
    <w:name w:val="photo_credit"/>
    <w:basedOn w:val="Normal"/>
    <w:rsid w:val="0011405B"/>
    <w:pPr>
      <w:spacing w:after="180" w:line="150" w:lineRule="atLeast"/>
    </w:pPr>
    <w:rPr>
      <w:caps/>
      <w:sz w:val="15"/>
      <w:szCs w:val="15"/>
    </w:rPr>
  </w:style>
  <w:style w:type="paragraph" w:customStyle="1" w:styleId="Caption2">
    <w:name w:val="Caption2"/>
    <w:basedOn w:val="Normal"/>
    <w:rsid w:val="00C86298"/>
    <w:pPr>
      <w:spacing w:before="100" w:beforeAutospacing="1" w:after="288"/>
      <w:ind w:left="489" w:hanging="490"/>
    </w:pPr>
    <w:rPr>
      <w:rFonts w:ascii="Verdana" w:hAnsi="Verdana"/>
      <w:b/>
      <w:bCs/>
    </w:rPr>
  </w:style>
  <w:style w:type="character" w:customStyle="1" w:styleId="BodyTextChar1">
    <w:name w:val="Body Text Char1"/>
    <w:basedOn w:val="DefaultParagraphFont"/>
    <w:rsid w:val="00875599"/>
    <w:rPr>
      <w:sz w:val="24"/>
      <w:szCs w:val="24"/>
    </w:rPr>
  </w:style>
  <w:style w:type="paragraph" w:customStyle="1" w:styleId="MHMPs">
    <w:name w:val="MHMPs"/>
    <w:basedOn w:val="Normal"/>
    <w:link w:val="MHMPsChar"/>
    <w:qFormat/>
    <w:rsid w:val="001011A9"/>
    <w:pPr>
      <w:spacing w:after="200" w:line="276" w:lineRule="auto"/>
    </w:pPr>
    <w:rPr>
      <w:rFonts w:ascii="Calibri" w:hAnsi="Calibri"/>
      <w:sz w:val="22"/>
      <w:szCs w:val="20"/>
    </w:rPr>
  </w:style>
  <w:style w:type="character" w:customStyle="1" w:styleId="MHMPsChar">
    <w:name w:val="MHMPs Char"/>
    <w:basedOn w:val="DefaultParagraphFont"/>
    <w:link w:val="MHMPs"/>
    <w:rsid w:val="001011A9"/>
    <w:rPr>
      <w:rFonts w:ascii="Calibri" w:hAnsi="Calibri"/>
      <w:sz w:val="22"/>
    </w:rPr>
  </w:style>
  <w:style w:type="character" w:customStyle="1" w:styleId="apple-converted-space">
    <w:name w:val="apple-converted-space"/>
    <w:basedOn w:val="DefaultParagraphFont"/>
    <w:rsid w:val="0050213E"/>
  </w:style>
  <w:style w:type="paragraph" w:customStyle="1" w:styleId="Caption3">
    <w:name w:val="Caption3"/>
    <w:basedOn w:val="Normal"/>
    <w:rsid w:val="006C6590"/>
    <w:pPr>
      <w:spacing w:before="100" w:beforeAutospacing="1" w:after="288"/>
      <w:ind w:left="489" w:hanging="490"/>
    </w:pPr>
    <w:rPr>
      <w:rFonts w:ascii="Verdana" w:hAnsi="Verdana"/>
      <w:b/>
      <w:bCs/>
    </w:rPr>
  </w:style>
  <w:style w:type="paragraph" w:customStyle="1" w:styleId="Body">
    <w:name w:val="Body"/>
    <w:basedOn w:val="Normal"/>
    <w:link w:val="BodyChar"/>
    <w:rsid w:val="006C6590"/>
    <w:pPr>
      <w:spacing w:after="200" w:line="276" w:lineRule="auto"/>
    </w:pPr>
  </w:style>
  <w:style w:type="character" w:customStyle="1" w:styleId="BodyChar">
    <w:name w:val="Body Char"/>
    <w:link w:val="Body"/>
    <w:rsid w:val="006C6590"/>
    <w:rPr>
      <w:sz w:val="24"/>
      <w:szCs w:val="24"/>
    </w:rPr>
  </w:style>
  <w:style w:type="paragraph" w:customStyle="1" w:styleId="Figure">
    <w:name w:val="Figure"/>
    <w:basedOn w:val="Caption"/>
    <w:link w:val="FigureChar"/>
    <w:rsid w:val="006C6590"/>
    <w:pPr>
      <w:tabs>
        <w:tab w:val="left" w:pos="1260"/>
        <w:tab w:val="right" w:pos="9540"/>
      </w:tabs>
      <w:jc w:val="center"/>
    </w:pPr>
    <w:rPr>
      <w:rFonts w:ascii="Arial" w:hAnsi="Arial" w:cs="Arial"/>
      <w:bCs w:val="0"/>
    </w:rPr>
  </w:style>
  <w:style w:type="character" w:customStyle="1" w:styleId="FigureChar">
    <w:name w:val="Figure Char"/>
    <w:link w:val="Figure"/>
    <w:rsid w:val="006C6590"/>
    <w:rPr>
      <w:rFonts w:ascii="Arial" w:hAnsi="Arial" w:cs="Arial"/>
      <w:b/>
    </w:rPr>
  </w:style>
  <w:style w:type="paragraph" w:styleId="Quote">
    <w:name w:val="Quote"/>
    <w:basedOn w:val="Normal"/>
    <w:next w:val="Normal"/>
    <w:link w:val="QuoteChar"/>
    <w:uiPriority w:val="29"/>
    <w:qFormat/>
    <w:rsid w:val="00FA5AA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A5AAE"/>
    <w:rPr>
      <w:i/>
      <w:iCs/>
    </w:rPr>
  </w:style>
  <w:style w:type="paragraph" w:customStyle="1" w:styleId="xl75">
    <w:name w:val="xl75"/>
    <w:basedOn w:val="Normal"/>
    <w:rsid w:val="007741D9"/>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7741D9"/>
    <w:pPr>
      <w:pBdr>
        <w:left w:val="single" w:sz="4" w:space="0" w:color="auto"/>
        <w:bottom w:val="single" w:sz="4" w:space="0" w:color="auto"/>
        <w:right w:val="single" w:sz="8" w:space="0" w:color="auto"/>
      </w:pBdr>
      <w:spacing w:before="100" w:beforeAutospacing="1" w:after="100" w:afterAutospacing="1"/>
    </w:pPr>
  </w:style>
  <w:style w:type="paragraph" w:customStyle="1" w:styleId="xl77">
    <w:name w:val="xl77"/>
    <w:basedOn w:val="Normal"/>
    <w:rsid w:val="007741D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78">
    <w:name w:val="xl78"/>
    <w:basedOn w:val="Normal"/>
    <w:rsid w:val="007741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Normal"/>
    <w:rsid w:val="007741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Normal"/>
    <w:rsid w:val="007741D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styleId="Title">
    <w:name w:val="Title"/>
    <w:basedOn w:val="Normal"/>
    <w:next w:val="Normal"/>
    <w:link w:val="TitleChar"/>
    <w:uiPriority w:val="10"/>
    <w:qFormat/>
    <w:rsid w:val="00FA5AAE"/>
    <w:pPr>
      <w:spacing w:after="0" w:line="240" w:lineRule="auto"/>
      <w:contextualSpacing/>
    </w:pPr>
    <w:rPr>
      <w:rFonts w:asciiTheme="majorHAnsi" w:eastAsiaTheme="majorEastAsia" w:hAnsiTheme="majorHAnsi" w:cstheme="majorBidi"/>
      <w:color w:val="5D0C09" w:themeColor="accent1" w:themeShade="BF"/>
      <w:spacing w:val="-7"/>
      <w:sz w:val="80"/>
      <w:szCs w:val="80"/>
    </w:rPr>
  </w:style>
  <w:style w:type="character" w:customStyle="1" w:styleId="TitleChar">
    <w:name w:val="Title Char"/>
    <w:basedOn w:val="DefaultParagraphFont"/>
    <w:link w:val="Title"/>
    <w:uiPriority w:val="10"/>
    <w:rsid w:val="00FA5AAE"/>
    <w:rPr>
      <w:rFonts w:asciiTheme="majorHAnsi" w:eastAsiaTheme="majorEastAsia" w:hAnsiTheme="majorHAnsi" w:cstheme="majorBidi"/>
      <w:color w:val="5D0C09" w:themeColor="accent1" w:themeShade="BF"/>
      <w:spacing w:val="-7"/>
      <w:sz w:val="80"/>
      <w:szCs w:val="80"/>
    </w:rPr>
  </w:style>
  <w:style w:type="paragraph" w:styleId="Subtitle">
    <w:name w:val="Subtitle"/>
    <w:basedOn w:val="Normal"/>
    <w:next w:val="Normal"/>
    <w:link w:val="SubtitleChar"/>
    <w:uiPriority w:val="11"/>
    <w:qFormat/>
    <w:rsid w:val="00FA5AA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A5AAE"/>
    <w:rPr>
      <w:rFonts w:asciiTheme="majorHAnsi" w:eastAsiaTheme="majorEastAsia" w:hAnsiTheme="majorHAnsi" w:cstheme="majorBidi"/>
      <w:color w:val="404040" w:themeColor="text1" w:themeTint="BF"/>
      <w:sz w:val="30"/>
      <w:szCs w:val="30"/>
    </w:rPr>
  </w:style>
  <w:style w:type="character" w:customStyle="1" w:styleId="NoSpacingChar">
    <w:name w:val="No Spacing Char"/>
    <w:basedOn w:val="DefaultParagraphFont"/>
    <w:link w:val="NoSpacing"/>
    <w:uiPriority w:val="1"/>
    <w:rsid w:val="00884E7D"/>
  </w:style>
  <w:style w:type="character" w:styleId="SubtleEmphasis">
    <w:name w:val="Subtle Emphasis"/>
    <w:basedOn w:val="DefaultParagraphFont"/>
    <w:uiPriority w:val="19"/>
    <w:qFormat/>
    <w:rsid w:val="00FA5AAE"/>
    <w:rPr>
      <w:i/>
      <w:iCs/>
      <w:color w:val="595959" w:themeColor="text1" w:themeTint="A6"/>
    </w:rPr>
  </w:style>
  <w:style w:type="character" w:styleId="IntenseEmphasis">
    <w:name w:val="Intense Emphasis"/>
    <w:basedOn w:val="DefaultParagraphFont"/>
    <w:uiPriority w:val="21"/>
    <w:qFormat/>
    <w:rsid w:val="00FA5AAE"/>
    <w:rPr>
      <w:b/>
      <w:bCs/>
      <w:i/>
      <w:iCs/>
    </w:rPr>
  </w:style>
  <w:style w:type="character" w:styleId="SubtleReference">
    <w:name w:val="Subtle Reference"/>
    <w:basedOn w:val="DefaultParagraphFont"/>
    <w:uiPriority w:val="31"/>
    <w:qFormat/>
    <w:rsid w:val="00FA5AAE"/>
    <w:rPr>
      <w:smallCaps/>
      <w:color w:val="404040" w:themeColor="text1" w:themeTint="BF"/>
    </w:rPr>
  </w:style>
  <w:style w:type="character" w:styleId="IntenseReference">
    <w:name w:val="Intense Reference"/>
    <w:basedOn w:val="DefaultParagraphFont"/>
    <w:uiPriority w:val="32"/>
    <w:qFormat/>
    <w:rsid w:val="00FA5AAE"/>
    <w:rPr>
      <w:b/>
      <w:bCs/>
      <w:smallCaps/>
      <w:u w:val="single"/>
    </w:rPr>
  </w:style>
  <w:style w:type="character" w:styleId="BookTitle">
    <w:name w:val="Book Title"/>
    <w:basedOn w:val="DefaultParagraphFont"/>
    <w:uiPriority w:val="33"/>
    <w:qFormat/>
    <w:rsid w:val="00FA5AAE"/>
    <w:rPr>
      <w:b/>
      <w:bCs/>
      <w:smallCaps/>
    </w:rPr>
  </w:style>
  <w:style w:type="paragraph" w:customStyle="1" w:styleId="Table">
    <w:name w:val="Table"/>
    <w:basedOn w:val="Normal"/>
    <w:link w:val="TableChar"/>
    <w:qFormat/>
    <w:rsid w:val="007C321B"/>
    <w:pPr>
      <w:spacing w:after="160" w:line="259" w:lineRule="auto"/>
    </w:pPr>
    <w:rPr>
      <w:rFonts w:ascii="Calibri" w:eastAsia="Times New Roman" w:hAnsi="Calibri" w:cs="Calibri"/>
      <w:b/>
      <w:color w:val="000000"/>
      <w:sz w:val="22"/>
      <w:szCs w:val="20"/>
    </w:rPr>
  </w:style>
  <w:style w:type="character" w:customStyle="1" w:styleId="TableChar">
    <w:name w:val="Table Char"/>
    <w:basedOn w:val="DefaultParagraphFont"/>
    <w:link w:val="Table"/>
    <w:rsid w:val="007C321B"/>
    <w:rPr>
      <w:rFonts w:ascii="Calibri" w:eastAsia="Times New Roman" w:hAnsi="Calibri" w:cs="Calibri"/>
      <w:b/>
      <w:color w:val="00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088">
      <w:bodyDiv w:val="1"/>
      <w:marLeft w:val="0"/>
      <w:marRight w:val="0"/>
      <w:marTop w:val="0"/>
      <w:marBottom w:val="0"/>
      <w:divBdr>
        <w:top w:val="none" w:sz="0" w:space="0" w:color="auto"/>
        <w:left w:val="none" w:sz="0" w:space="0" w:color="auto"/>
        <w:bottom w:val="none" w:sz="0" w:space="0" w:color="auto"/>
        <w:right w:val="none" w:sz="0" w:space="0" w:color="auto"/>
      </w:divBdr>
    </w:div>
    <w:div w:id="1318901">
      <w:bodyDiv w:val="1"/>
      <w:marLeft w:val="0"/>
      <w:marRight w:val="0"/>
      <w:marTop w:val="0"/>
      <w:marBottom w:val="0"/>
      <w:divBdr>
        <w:top w:val="none" w:sz="0" w:space="0" w:color="auto"/>
        <w:left w:val="none" w:sz="0" w:space="0" w:color="auto"/>
        <w:bottom w:val="none" w:sz="0" w:space="0" w:color="auto"/>
        <w:right w:val="none" w:sz="0" w:space="0" w:color="auto"/>
      </w:divBdr>
    </w:div>
    <w:div w:id="32577445">
      <w:bodyDiv w:val="1"/>
      <w:marLeft w:val="0"/>
      <w:marRight w:val="0"/>
      <w:marTop w:val="0"/>
      <w:marBottom w:val="0"/>
      <w:divBdr>
        <w:top w:val="none" w:sz="0" w:space="0" w:color="auto"/>
        <w:left w:val="none" w:sz="0" w:space="0" w:color="auto"/>
        <w:bottom w:val="none" w:sz="0" w:space="0" w:color="auto"/>
        <w:right w:val="none" w:sz="0" w:space="0" w:color="auto"/>
      </w:divBdr>
    </w:div>
    <w:div w:id="42680457">
      <w:bodyDiv w:val="1"/>
      <w:marLeft w:val="0"/>
      <w:marRight w:val="0"/>
      <w:marTop w:val="0"/>
      <w:marBottom w:val="0"/>
      <w:divBdr>
        <w:top w:val="none" w:sz="0" w:space="0" w:color="auto"/>
        <w:left w:val="none" w:sz="0" w:space="0" w:color="auto"/>
        <w:bottom w:val="none" w:sz="0" w:space="0" w:color="auto"/>
        <w:right w:val="none" w:sz="0" w:space="0" w:color="auto"/>
      </w:divBdr>
    </w:div>
    <w:div w:id="43339441">
      <w:bodyDiv w:val="1"/>
      <w:marLeft w:val="0"/>
      <w:marRight w:val="0"/>
      <w:marTop w:val="0"/>
      <w:marBottom w:val="0"/>
      <w:divBdr>
        <w:top w:val="none" w:sz="0" w:space="0" w:color="auto"/>
        <w:left w:val="none" w:sz="0" w:space="0" w:color="auto"/>
        <w:bottom w:val="none" w:sz="0" w:space="0" w:color="auto"/>
        <w:right w:val="none" w:sz="0" w:space="0" w:color="auto"/>
      </w:divBdr>
    </w:div>
    <w:div w:id="45640459">
      <w:bodyDiv w:val="1"/>
      <w:marLeft w:val="0"/>
      <w:marRight w:val="0"/>
      <w:marTop w:val="0"/>
      <w:marBottom w:val="0"/>
      <w:divBdr>
        <w:top w:val="none" w:sz="0" w:space="0" w:color="auto"/>
        <w:left w:val="none" w:sz="0" w:space="0" w:color="auto"/>
        <w:bottom w:val="none" w:sz="0" w:space="0" w:color="auto"/>
        <w:right w:val="none" w:sz="0" w:space="0" w:color="auto"/>
      </w:divBdr>
    </w:div>
    <w:div w:id="60180741">
      <w:bodyDiv w:val="1"/>
      <w:marLeft w:val="0"/>
      <w:marRight w:val="0"/>
      <w:marTop w:val="0"/>
      <w:marBottom w:val="0"/>
      <w:divBdr>
        <w:top w:val="none" w:sz="0" w:space="0" w:color="auto"/>
        <w:left w:val="none" w:sz="0" w:space="0" w:color="auto"/>
        <w:bottom w:val="none" w:sz="0" w:space="0" w:color="auto"/>
        <w:right w:val="none" w:sz="0" w:space="0" w:color="auto"/>
      </w:divBdr>
    </w:div>
    <w:div w:id="62870370">
      <w:bodyDiv w:val="1"/>
      <w:marLeft w:val="0"/>
      <w:marRight w:val="0"/>
      <w:marTop w:val="0"/>
      <w:marBottom w:val="0"/>
      <w:divBdr>
        <w:top w:val="none" w:sz="0" w:space="0" w:color="auto"/>
        <w:left w:val="none" w:sz="0" w:space="0" w:color="auto"/>
        <w:bottom w:val="none" w:sz="0" w:space="0" w:color="auto"/>
        <w:right w:val="none" w:sz="0" w:space="0" w:color="auto"/>
      </w:divBdr>
    </w:div>
    <w:div w:id="62915383">
      <w:bodyDiv w:val="1"/>
      <w:marLeft w:val="0"/>
      <w:marRight w:val="0"/>
      <w:marTop w:val="0"/>
      <w:marBottom w:val="0"/>
      <w:divBdr>
        <w:top w:val="none" w:sz="0" w:space="0" w:color="auto"/>
        <w:left w:val="none" w:sz="0" w:space="0" w:color="auto"/>
        <w:bottom w:val="none" w:sz="0" w:space="0" w:color="auto"/>
        <w:right w:val="none" w:sz="0" w:space="0" w:color="auto"/>
      </w:divBdr>
    </w:div>
    <w:div w:id="69041675">
      <w:bodyDiv w:val="1"/>
      <w:marLeft w:val="0"/>
      <w:marRight w:val="0"/>
      <w:marTop w:val="0"/>
      <w:marBottom w:val="0"/>
      <w:divBdr>
        <w:top w:val="none" w:sz="0" w:space="0" w:color="auto"/>
        <w:left w:val="none" w:sz="0" w:space="0" w:color="auto"/>
        <w:bottom w:val="none" w:sz="0" w:space="0" w:color="auto"/>
        <w:right w:val="none" w:sz="0" w:space="0" w:color="auto"/>
      </w:divBdr>
    </w:div>
    <w:div w:id="90975341">
      <w:bodyDiv w:val="1"/>
      <w:marLeft w:val="0"/>
      <w:marRight w:val="0"/>
      <w:marTop w:val="0"/>
      <w:marBottom w:val="0"/>
      <w:divBdr>
        <w:top w:val="none" w:sz="0" w:space="0" w:color="auto"/>
        <w:left w:val="none" w:sz="0" w:space="0" w:color="auto"/>
        <w:bottom w:val="none" w:sz="0" w:space="0" w:color="auto"/>
        <w:right w:val="none" w:sz="0" w:space="0" w:color="auto"/>
      </w:divBdr>
    </w:div>
    <w:div w:id="111822549">
      <w:bodyDiv w:val="1"/>
      <w:marLeft w:val="0"/>
      <w:marRight w:val="0"/>
      <w:marTop w:val="0"/>
      <w:marBottom w:val="0"/>
      <w:divBdr>
        <w:top w:val="none" w:sz="0" w:space="0" w:color="auto"/>
        <w:left w:val="none" w:sz="0" w:space="0" w:color="auto"/>
        <w:bottom w:val="none" w:sz="0" w:space="0" w:color="auto"/>
        <w:right w:val="none" w:sz="0" w:space="0" w:color="auto"/>
      </w:divBdr>
    </w:div>
    <w:div w:id="135028441">
      <w:bodyDiv w:val="1"/>
      <w:marLeft w:val="0"/>
      <w:marRight w:val="0"/>
      <w:marTop w:val="0"/>
      <w:marBottom w:val="0"/>
      <w:divBdr>
        <w:top w:val="none" w:sz="0" w:space="0" w:color="auto"/>
        <w:left w:val="none" w:sz="0" w:space="0" w:color="auto"/>
        <w:bottom w:val="none" w:sz="0" w:space="0" w:color="auto"/>
        <w:right w:val="none" w:sz="0" w:space="0" w:color="auto"/>
      </w:divBdr>
      <w:divsChild>
        <w:div w:id="870727871">
          <w:marLeft w:val="0"/>
          <w:marRight w:val="0"/>
          <w:marTop w:val="0"/>
          <w:marBottom w:val="0"/>
          <w:divBdr>
            <w:top w:val="none" w:sz="0" w:space="0" w:color="auto"/>
            <w:left w:val="none" w:sz="0" w:space="0" w:color="auto"/>
            <w:bottom w:val="none" w:sz="0" w:space="0" w:color="auto"/>
            <w:right w:val="none" w:sz="0" w:space="0" w:color="auto"/>
          </w:divBdr>
          <w:divsChild>
            <w:div w:id="316345603">
              <w:marLeft w:val="0"/>
              <w:marRight w:val="0"/>
              <w:marTop w:val="0"/>
              <w:marBottom w:val="0"/>
              <w:divBdr>
                <w:top w:val="none" w:sz="0" w:space="0" w:color="auto"/>
                <w:left w:val="none" w:sz="0" w:space="0" w:color="auto"/>
                <w:bottom w:val="none" w:sz="0" w:space="0" w:color="auto"/>
                <w:right w:val="none" w:sz="0" w:space="0" w:color="auto"/>
              </w:divBdr>
              <w:divsChild>
                <w:div w:id="1825781290">
                  <w:marLeft w:val="0"/>
                  <w:marRight w:val="0"/>
                  <w:marTop w:val="0"/>
                  <w:marBottom w:val="0"/>
                  <w:divBdr>
                    <w:top w:val="none" w:sz="0" w:space="0" w:color="auto"/>
                    <w:left w:val="none" w:sz="0" w:space="0" w:color="auto"/>
                    <w:bottom w:val="none" w:sz="0" w:space="0" w:color="auto"/>
                    <w:right w:val="none" w:sz="0" w:space="0" w:color="auto"/>
                  </w:divBdr>
                  <w:divsChild>
                    <w:div w:id="1218855540">
                      <w:marLeft w:val="0"/>
                      <w:marRight w:val="0"/>
                      <w:marTop w:val="0"/>
                      <w:marBottom w:val="0"/>
                      <w:divBdr>
                        <w:top w:val="none" w:sz="0" w:space="0" w:color="auto"/>
                        <w:left w:val="none" w:sz="0" w:space="0" w:color="auto"/>
                        <w:bottom w:val="none" w:sz="0" w:space="0" w:color="auto"/>
                        <w:right w:val="none" w:sz="0" w:space="0" w:color="auto"/>
                      </w:divBdr>
                      <w:divsChild>
                        <w:div w:id="691078056">
                          <w:marLeft w:val="0"/>
                          <w:marRight w:val="0"/>
                          <w:marTop w:val="0"/>
                          <w:marBottom w:val="0"/>
                          <w:divBdr>
                            <w:top w:val="none" w:sz="0" w:space="0" w:color="auto"/>
                            <w:left w:val="none" w:sz="0" w:space="0" w:color="auto"/>
                            <w:bottom w:val="none" w:sz="0" w:space="0" w:color="auto"/>
                            <w:right w:val="none" w:sz="0" w:space="0" w:color="auto"/>
                          </w:divBdr>
                          <w:divsChild>
                            <w:div w:id="17645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092537">
      <w:bodyDiv w:val="1"/>
      <w:marLeft w:val="0"/>
      <w:marRight w:val="0"/>
      <w:marTop w:val="0"/>
      <w:marBottom w:val="0"/>
      <w:divBdr>
        <w:top w:val="none" w:sz="0" w:space="0" w:color="auto"/>
        <w:left w:val="none" w:sz="0" w:space="0" w:color="auto"/>
        <w:bottom w:val="none" w:sz="0" w:space="0" w:color="auto"/>
        <w:right w:val="none" w:sz="0" w:space="0" w:color="auto"/>
      </w:divBdr>
      <w:divsChild>
        <w:div w:id="992414631">
          <w:marLeft w:val="0"/>
          <w:marRight w:val="0"/>
          <w:marTop w:val="0"/>
          <w:marBottom w:val="0"/>
          <w:divBdr>
            <w:top w:val="none" w:sz="0" w:space="0" w:color="auto"/>
            <w:left w:val="none" w:sz="0" w:space="0" w:color="auto"/>
            <w:bottom w:val="none" w:sz="0" w:space="0" w:color="auto"/>
            <w:right w:val="none" w:sz="0" w:space="0" w:color="auto"/>
          </w:divBdr>
          <w:divsChild>
            <w:div w:id="48656527">
              <w:marLeft w:val="0"/>
              <w:marRight w:val="0"/>
              <w:marTop w:val="0"/>
              <w:marBottom w:val="0"/>
              <w:divBdr>
                <w:top w:val="none" w:sz="0" w:space="0" w:color="auto"/>
                <w:left w:val="none" w:sz="0" w:space="0" w:color="auto"/>
                <w:bottom w:val="none" w:sz="0" w:space="0" w:color="auto"/>
                <w:right w:val="none" w:sz="0" w:space="0" w:color="auto"/>
              </w:divBdr>
              <w:divsChild>
                <w:div w:id="2113821299">
                  <w:marLeft w:val="0"/>
                  <w:marRight w:val="0"/>
                  <w:marTop w:val="0"/>
                  <w:marBottom w:val="0"/>
                  <w:divBdr>
                    <w:top w:val="none" w:sz="0" w:space="0" w:color="auto"/>
                    <w:left w:val="none" w:sz="0" w:space="0" w:color="auto"/>
                    <w:bottom w:val="none" w:sz="0" w:space="0" w:color="auto"/>
                    <w:right w:val="none" w:sz="0" w:space="0" w:color="auto"/>
                  </w:divBdr>
                  <w:divsChild>
                    <w:div w:id="1784225824">
                      <w:marLeft w:val="150"/>
                      <w:marRight w:val="150"/>
                      <w:marTop w:val="0"/>
                      <w:marBottom w:val="0"/>
                      <w:divBdr>
                        <w:top w:val="none" w:sz="0" w:space="0" w:color="auto"/>
                        <w:left w:val="none" w:sz="0" w:space="0" w:color="auto"/>
                        <w:bottom w:val="none" w:sz="0" w:space="0" w:color="auto"/>
                        <w:right w:val="none" w:sz="0" w:space="0" w:color="auto"/>
                      </w:divBdr>
                      <w:divsChild>
                        <w:div w:id="1654409507">
                          <w:marLeft w:val="0"/>
                          <w:marRight w:val="0"/>
                          <w:marTop w:val="0"/>
                          <w:marBottom w:val="0"/>
                          <w:divBdr>
                            <w:top w:val="none" w:sz="0" w:space="0" w:color="auto"/>
                            <w:left w:val="none" w:sz="0" w:space="0" w:color="auto"/>
                            <w:bottom w:val="none" w:sz="0" w:space="0" w:color="auto"/>
                            <w:right w:val="none" w:sz="0" w:space="0" w:color="auto"/>
                          </w:divBdr>
                          <w:divsChild>
                            <w:div w:id="1260601002">
                              <w:marLeft w:val="0"/>
                              <w:marRight w:val="0"/>
                              <w:marTop w:val="0"/>
                              <w:marBottom w:val="0"/>
                              <w:divBdr>
                                <w:top w:val="none" w:sz="0" w:space="0" w:color="auto"/>
                                <w:left w:val="none" w:sz="0" w:space="0" w:color="auto"/>
                                <w:bottom w:val="none" w:sz="0" w:space="0" w:color="auto"/>
                                <w:right w:val="none" w:sz="0" w:space="0" w:color="auto"/>
                              </w:divBdr>
                              <w:divsChild>
                                <w:div w:id="1747147371">
                                  <w:marLeft w:val="0"/>
                                  <w:marRight w:val="0"/>
                                  <w:marTop w:val="0"/>
                                  <w:marBottom w:val="0"/>
                                  <w:divBdr>
                                    <w:top w:val="none" w:sz="0" w:space="0" w:color="auto"/>
                                    <w:left w:val="none" w:sz="0" w:space="0" w:color="auto"/>
                                    <w:bottom w:val="none" w:sz="0" w:space="0" w:color="auto"/>
                                    <w:right w:val="none" w:sz="0" w:space="0" w:color="auto"/>
                                  </w:divBdr>
                                  <w:divsChild>
                                    <w:div w:id="1481117469">
                                      <w:marLeft w:val="0"/>
                                      <w:marRight w:val="0"/>
                                      <w:marTop w:val="0"/>
                                      <w:marBottom w:val="0"/>
                                      <w:divBdr>
                                        <w:top w:val="none" w:sz="0" w:space="0" w:color="auto"/>
                                        <w:left w:val="none" w:sz="0" w:space="0" w:color="auto"/>
                                        <w:bottom w:val="none" w:sz="0" w:space="0" w:color="auto"/>
                                        <w:right w:val="none" w:sz="0" w:space="0" w:color="auto"/>
                                      </w:divBdr>
                                      <w:divsChild>
                                        <w:div w:id="314992736">
                                          <w:marLeft w:val="420"/>
                                          <w:marRight w:val="720"/>
                                          <w:marTop w:val="150"/>
                                          <w:marBottom w:val="150"/>
                                          <w:divBdr>
                                            <w:top w:val="none" w:sz="0" w:space="0" w:color="auto"/>
                                            <w:left w:val="none" w:sz="0" w:space="0" w:color="auto"/>
                                            <w:bottom w:val="none" w:sz="0" w:space="0" w:color="auto"/>
                                            <w:right w:val="none" w:sz="0" w:space="0" w:color="auto"/>
                                          </w:divBdr>
                                        </w:div>
                                      </w:divsChild>
                                    </w:div>
                                  </w:divsChild>
                                </w:div>
                              </w:divsChild>
                            </w:div>
                            <w:div w:id="1796095953">
                              <w:marLeft w:val="0"/>
                              <w:marRight w:val="0"/>
                              <w:marTop w:val="0"/>
                              <w:marBottom w:val="0"/>
                              <w:divBdr>
                                <w:top w:val="none" w:sz="0" w:space="0" w:color="auto"/>
                                <w:left w:val="none" w:sz="0" w:space="0" w:color="auto"/>
                                <w:bottom w:val="none" w:sz="0" w:space="0" w:color="auto"/>
                                <w:right w:val="none" w:sz="0" w:space="0" w:color="auto"/>
                              </w:divBdr>
                              <w:divsChild>
                                <w:div w:id="1267493818">
                                  <w:marLeft w:val="0"/>
                                  <w:marRight w:val="0"/>
                                  <w:marTop w:val="0"/>
                                  <w:marBottom w:val="0"/>
                                  <w:divBdr>
                                    <w:top w:val="none" w:sz="0" w:space="0" w:color="auto"/>
                                    <w:left w:val="none" w:sz="0" w:space="0" w:color="auto"/>
                                    <w:bottom w:val="none" w:sz="0" w:space="0" w:color="auto"/>
                                    <w:right w:val="none" w:sz="0" w:space="0" w:color="auto"/>
                                  </w:divBdr>
                                  <w:divsChild>
                                    <w:div w:id="1367750465">
                                      <w:marLeft w:val="0"/>
                                      <w:marRight w:val="0"/>
                                      <w:marTop w:val="0"/>
                                      <w:marBottom w:val="0"/>
                                      <w:divBdr>
                                        <w:top w:val="none" w:sz="0" w:space="0" w:color="auto"/>
                                        <w:left w:val="none" w:sz="0" w:space="0" w:color="auto"/>
                                        <w:bottom w:val="none" w:sz="0" w:space="0" w:color="auto"/>
                                        <w:right w:val="none" w:sz="0" w:space="0" w:color="auto"/>
                                      </w:divBdr>
                                      <w:divsChild>
                                        <w:div w:id="1164786157">
                                          <w:marLeft w:val="0"/>
                                          <w:marRight w:val="0"/>
                                          <w:marTop w:val="0"/>
                                          <w:marBottom w:val="0"/>
                                          <w:divBdr>
                                            <w:top w:val="none" w:sz="0" w:space="0" w:color="auto"/>
                                            <w:left w:val="none" w:sz="0" w:space="0" w:color="auto"/>
                                            <w:bottom w:val="none" w:sz="0" w:space="0" w:color="auto"/>
                                            <w:right w:val="none" w:sz="0" w:space="0" w:color="auto"/>
                                          </w:divBdr>
                                          <w:divsChild>
                                            <w:div w:id="258149591">
                                              <w:marLeft w:val="0"/>
                                              <w:marRight w:val="0"/>
                                              <w:marTop w:val="0"/>
                                              <w:marBottom w:val="0"/>
                                              <w:divBdr>
                                                <w:top w:val="none" w:sz="0" w:space="0" w:color="auto"/>
                                                <w:left w:val="none" w:sz="0" w:space="0" w:color="auto"/>
                                                <w:bottom w:val="none" w:sz="0" w:space="0" w:color="auto"/>
                                                <w:right w:val="none" w:sz="0" w:space="0" w:color="auto"/>
                                              </w:divBdr>
                                              <w:divsChild>
                                                <w:div w:id="811823883">
                                                  <w:marLeft w:val="0"/>
                                                  <w:marRight w:val="0"/>
                                                  <w:marTop w:val="0"/>
                                                  <w:marBottom w:val="0"/>
                                                  <w:divBdr>
                                                    <w:top w:val="none" w:sz="0" w:space="0" w:color="auto"/>
                                                    <w:left w:val="none" w:sz="0" w:space="0" w:color="auto"/>
                                                    <w:bottom w:val="none" w:sz="0" w:space="0" w:color="auto"/>
                                                    <w:right w:val="none" w:sz="0" w:space="0" w:color="auto"/>
                                                  </w:divBdr>
                                                  <w:divsChild>
                                                    <w:div w:id="4535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7664">
                                              <w:marLeft w:val="0"/>
                                              <w:marRight w:val="0"/>
                                              <w:marTop w:val="0"/>
                                              <w:marBottom w:val="0"/>
                                              <w:divBdr>
                                                <w:top w:val="none" w:sz="0" w:space="0" w:color="auto"/>
                                                <w:left w:val="none" w:sz="0" w:space="0" w:color="auto"/>
                                                <w:bottom w:val="none" w:sz="0" w:space="0" w:color="auto"/>
                                                <w:right w:val="none" w:sz="0" w:space="0" w:color="auto"/>
                                              </w:divBdr>
                                              <w:divsChild>
                                                <w:div w:id="846218012">
                                                  <w:marLeft w:val="0"/>
                                                  <w:marRight w:val="0"/>
                                                  <w:marTop w:val="0"/>
                                                  <w:marBottom w:val="0"/>
                                                  <w:divBdr>
                                                    <w:top w:val="none" w:sz="0" w:space="0" w:color="auto"/>
                                                    <w:left w:val="none" w:sz="0" w:space="0" w:color="auto"/>
                                                    <w:bottom w:val="none" w:sz="0" w:space="0" w:color="auto"/>
                                                    <w:right w:val="none" w:sz="0" w:space="0" w:color="auto"/>
                                                  </w:divBdr>
                                                  <w:divsChild>
                                                    <w:div w:id="473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7876">
                                              <w:marLeft w:val="0"/>
                                              <w:marRight w:val="0"/>
                                              <w:marTop w:val="0"/>
                                              <w:marBottom w:val="0"/>
                                              <w:divBdr>
                                                <w:top w:val="none" w:sz="0" w:space="0" w:color="auto"/>
                                                <w:left w:val="none" w:sz="0" w:space="0" w:color="auto"/>
                                                <w:bottom w:val="none" w:sz="0" w:space="0" w:color="auto"/>
                                                <w:right w:val="none" w:sz="0" w:space="0" w:color="auto"/>
                                              </w:divBdr>
                                              <w:divsChild>
                                                <w:div w:id="1367827732">
                                                  <w:marLeft w:val="0"/>
                                                  <w:marRight w:val="0"/>
                                                  <w:marTop w:val="0"/>
                                                  <w:marBottom w:val="0"/>
                                                  <w:divBdr>
                                                    <w:top w:val="none" w:sz="0" w:space="0" w:color="auto"/>
                                                    <w:left w:val="none" w:sz="0" w:space="0" w:color="auto"/>
                                                    <w:bottom w:val="none" w:sz="0" w:space="0" w:color="auto"/>
                                                    <w:right w:val="none" w:sz="0" w:space="0" w:color="auto"/>
                                                  </w:divBdr>
                                                </w:div>
                                                <w:div w:id="2145854641">
                                                  <w:marLeft w:val="0"/>
                                                  <w:marRight w:val="0"/>
                                                  <w:marTop w:val="0"/>
                                                  <w:marBottom w:val="0"/>
                                                  <w:divBdr>
                                                    <w:top w:val="none" w:sz="0" w:space="0" w:color="auto"/>
                                                    <w:left w:val="none" w:sz="0" w:space="0" w:color="auto"/>
                                                    <w:bottom w:val="none" w:sz="0" w:space="0" w:color="auto"/>
                                                    <w:right w:val="none" w:sz="0" w:space="0" w:color="auto"/>
                                                  </w:divBdr>
                                                  <w:divsChild>
                                                    <w:div w:id="761410423">
                                                      <w:marLeft w:val="0"/>
                                                      <w:marRight w:val="0"/>
                                                      <w:marTop w:val="0"/>
                                                      <w:marBottom w:val="0"/>
                                                      <w:divBdr>
                                                        <w:top w:val="none" w:sz="0" w:space="0" w:color="auto"/>
                                                        <w:left w:val="none" w:sz="0" w:space="0" w:color="auto"/>
                                                        <w:bottom w:val="none" w:sz="0" w:space="0" w:color="auto"/>
                                                        <w:right w:val="none" w:sz="0" w:space="0" w:color="auto"/>
                                                      </w:divBdr>
                                                    </w:div>
                                                    <w:div w:id="11768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398">
                                              <w:marLeft w:val="0"/>
                                              <w:marRight w:val="0"/>
                                              <w:marTop w:val="0"/>
                                              <w:marBottom w:val="0"/>
                                              <w:divBdr>
                                                <w:top w:val="none" w:sz="0" w:space="0" w:color="auto"/>
                                                <w:left w:val="none" w:sz="0" w:space="0" w:color="auto"/>
                                                <w:bottom w:val="none" w:sz="0" w:space="0" w:color="auto"/>
                                                <w:right w:val="none" w:sz="0" w:space="0" w:color="auto"/>
                                              </w:divBdr>
                                              <w:divsChild>
                                                <w:div w:id="1526090081">
                                                  <w:marLeft w:val="0"/>
                                                  <w:marRight w:val="0"/>
                                                  <w:marTop w:val="0"/>
                                                  <w:marBottom w:val="0"/>
                                                  <w:divBdr>
                                                    <w:top w:val="none" w:sz="0" w:space="0" w:color="auto"/>
                                                    <w:left w:val="none" w:sz="0" w:space="0" w:color="auto"/>
                                                    <w:bottom w:val="none" w:sz="0" w:space="0" w:color="auto"/>
                                                    <w:right w:val="none" w:sz="0" w:space="0" w:color="auto"/>
                                                  </w:divBdr>
                                                  <w:divsChild>
                                                    <w:div w:id="394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238767">
      <w:bodyDiv w:val="1"/>
      <w:marLeft w:val="0"/>
      <w:marRight w:val="0"/>
      <w:marTop w:val="0"/>
      <w:marBottom w:val="0"/>
      <w:divBdr>
        <w:top w:val="none" w:sz="0" w:space="0" w:color="auto"/>
        <w:left w:val="none" w:sz="0" w:space="0" w:color="auto"/>
        <w:bottom w:val="none" w:sz="0" w:space="0" w:color="auto"/>
        <w:right w:val="none" w:sz="0" w:space="0" w:color="auto"/>
      </w:divBdr>
    </w:div>
    <w:div w:id="305625717">
      <w:bodyDiv w:val="1"/>
      <w:marLeft w:val="0"/>
      <w:marRight w:val="0"/>
      <w:marTop w:val="0"/>
      <w:marBottom w:val="0"/>
      <w:divBdr>
        <w:top w:val="none" w:sz="0" w:space="0" w:color="auto"/>
        <w:left w:val="none" w:sz="0" w:space="0" w:color="auto"/>
        <w:bottom w:val="none" w:sz="0" w:space="0" w:color="auto"/>
        <w:right w:val="none" w:sz="0" w:space="0" w:color="auto"/>
      </w:divBdr>
    </w:div>
    <w:div w:id="319383423">
      <w:bodyDiv w:val="1"/>
      <w:marLeft w:val="0"/>
      <w:marRight w:val="0"/>
      <w:marTop w:val="0"/>
      <w:marBottom w:val="0"/>
      <w:divBdr>
        <w:top w:val="none" w:sz="0" w:space="0" w:color="auto"/>
        <w:left w:val="none" w:sz="0" w:space="0" w:color="auto"/>
        <w:bottom w:val="none" w:sz="0" w:space="0" w:color="auto"/>
        <w:right w:val="none" w:sz="0" w:space="0" w:color="auto"/>
      </w:divBdr>
    </w:div>
    <w:div w:id="328413760">
      <w:bodyDiv w:val="1"/>
      <w:marLeft w:val="0"/>
      <w:marRight w:val="0"/>
      <w:marTop w:val="0"/>
      <w:marBottom w:val="0"/>
      <w:divBdr>
        <w:top w:val="none" w:sz="0" w:space="0" w:color="auto"/>
        <w:left w:val="none" w:sz="0" w:space="0" w:color="auto"/>
        <w:bottom w:val="none" w:sz="0" w:space="0" w:color="auto"/>
        <w:right w:val="none" w:sz="0" w:space="0" w:color="auto"/>
      </w:divBdr>
    </w:div>
    <w:div w:id="331419973">
      <w:bodyDiv w:val="1"/>
      <w:marLeft w:val="0"/>
      <w:marRight w:val="0"/>
      <w:marTop w:val="0"/>
      <w:marBottom w:val="0"/>
      <w:divBdr>
        <w:top w:val="none" w:sz="0" w:space="0" w:color="auto"/>
        <w:left w:val="none" w:sz="0" w:space="0" w:color="auto"/>
        <w:bottom w:val="none" w:sz="0" w:space="0" w:color="auto"/>
        <w:right w:val="none" w:sz="0" w:space="0" w:color="auto"/>
      </w:divBdr>
    </w:div>
    <w:div w:id="335040872">
      <w:bodyDiv w:val="1"/>
      <w:marLeft w:val="0"/>
      <w:marRight w:val="0"/>
      <w:marTop w:val="0"/>
      <w:marBottom w:val="0"/>
      <w:divBdr>
        <w:top w:val="none" w:sz="0" w:space="0" w:color="auto"/>
        <w:left w:val="none" w:sz="0" w:space="0" w:color="auto"/>
        <w:bottom w:val="none" w:sz="0" w:space="0" w:color="auto"/>
        <w:right w:val="none" w:sz="0" w:space="0" w:color="auto"/>
      </w:divBdr>
    </w:div>
    <w:div w:id="343020665">
      <w:bodyDiv w:val="1"/>
      <w:marLeft w:val="0"/>
      <w:marRight w:val="0"/>
      <w:marTop w:val="0"/>
      <w:marBottom w:val="0"/>
      <w:divBdr>
        <w:top w:val="none" w:sz="0" w:space="0" w:color="auto"/>
        <w:left w:val="none" w:sz="0" w:space="0" w:color="auto"/>
        <w:bottom w:val="none" w:sz="0" w:space="0" w:color="auto"/>
        <w:right w:val="none" w:sz="0" w:space="0" w:color="auto"/>
      </w:divBdr>
    </w:div>
    <w:div w:id="355498474">
      <w:bodyDiv w:val="1"/>
      <w:marLeft w:val="0"/>
      <w:marRight w:val="0"/>
      <w:marTop w:val="0"/>
      <w:marBottom w:val="0"/>
      <w:divBdr>
        <w:top w:val="none" w:sz="0" w:space="0" w:color="auto"/>
        <w:left w:val="none" w:sz="0" w:space="0" w:color="auto"/>
        <w:bottom w:val="none" w:sz="0" w:space="0" w:color="auto"/>
        <w:right w:val="none" w:sz="0" w:space="0" w:color="auto"/>
      </w:divBdr>
    </w:div>
    <w:div w:id="407924707">
      <w:bodyDiv w:val="1"/>
      <w:marLeft w:val="0"/>
      <w:marRight w:val="0"/>
      <w:marTop w:val="0"/>
      <w:marBottom w:val="0"/>
      <w:divBdr>
        <w:top w:val="none" w:sz="0" w:space="0" w:color="auto"/>
        <w:left w:val="none" w:sz="0" w:space="0" w:color="auto"/>
        <w:bottom w:val="none" w:sz="0" w:space="0" w:color="auto"/>
        <w:right w:val="none" w:sz="0" w:space="0" w:color="auto"/>
      </w:divBdr>
    </w:div>
    <w:div w:id="411315089">
      <w:bodyDiv w:val="1"/>
      <w:marLeft w:val="0"/>
      <w:marRight w:val="0"/>
      <w:marTop w:val="0"/>
      <w:marBottom w:val="0"/>
      <w:divBdr>
        <w:top w:val="none" w:sz="0" w:space="0" w:color="auto"/>
        <w:left w:val="none" w:sz="0" w:space="0" w:color="auto"/>
        <w:bottom w:val="none" w:sz="0" w:space="0" w:color="auto"/>
        <w:right w:val="none" w:sz="0" w:space="0" w:color="auto"/>
      </w:divBdr>
      <w:divsChild>
        <w:div w:id="518080017">
          <w:marLeft w:val="0"/>
          <w:marRight w:val="0"/>
          <w:marTop w:val="0"/>
          <w:marBottom w:val="0"/>
          <w:divBdr>
            <w:top w:val="none" w:sz="0" w:space="0" w:color="auto"/>
            <w:left w:val="none" w:sz="0" w:space="0" w:color="auto"/>
            <w:bottom w:val="none" w:sz="0" w:space="0" w:color="auto"/>
            <w:right w:val="none" w:sz="0" w:space="0" w:color="auto"/>
          </w:divBdr>
          <w:divsChild>
            <w:div w:id="538052963">
              <w:marLeft w:val="0"/>
              <w:marRight w:val="0"/>
              <w:marTop w:val="0"/>
              <w:marBottom w:val="0"/>
              <w:divBdr>
                <w:top w:val="none" w:sz="0" w:space="0" w:color="auto"/>
                <w:left w:val="none" w:sz="0" w:space="0" w:color="auto"/>
                <w:bottom w:val="none" w:sz="0" w:space="0" w:color="auto"/>
                <w:right w:val="none" w:sz="0" w:space="0" w:color="auto"/>
              </w:divBdr>
              <w:divsChild>
                <w:div w:id="1299727212">
                  <w:marLeft w:val="0"/>
                  <w:marRight w:val="0"/>
                  <w:marTop w:val="0"/>
                  <w:marBottom w:val="0"/>
                  <w:divBdr>
                    <w:top w:val="none" w:sz="0" w:space="0" w:color="auto"/>
                    <w:left w:val="none" w:sz="0" w:space="0" w:color="auto"/>
                    <w:bottom w:val="none" w:sz="0" w:space="0" w:color="auto"/>
                    <w:right w:val="none" w:sz="0" w:space="0" w:color="auto"/>
                  </w:divBdr>
                  <w:divsChild>
                    <w:div w:id="1884177004">
                      <w:marLeft w:val="0"/>
                      <w:marRight w:val="0"/>
                      <w:marTop w:val="0"/>
                      <w:marBottom w:val="0"/>
                      <w:divBdr>
                        <w:top w:val="none" w:sz="0" w:space="0" w:color="auto"/>
                        <w:left w:val="none" w:sz="0" w:space="0" w:color="auto"/>
                        <w:bottom w:val="none" w:sz="0" w:space="0" w:color="auto"/>
                        <w:right w:val="none" w:sz="0" w:space="0" w:color="auto"/>
                      </w:divBdr>
                      <w:divsChild>
                        <w:div w:id="307976985">
                          <w:marLeft w:val="0"/>
                          <w:marRight w:val="0"/>
                          <w:marTop w:val="0"/>
                          <w:marBottom w:val="0"/>
                          <w:divBdr>
                            <w:top w:val="none" w:sz="0" w:space="0" w:color="auto"/>
                            <w:left w:val="none" w:sz="0" w:space="0" w:color="auto"/>
                            <w:bottom w:val="none" w:sz="0" w:space="0" w:color="auto"/>
                            <w:right w:val="none" w:sz="0" w:space="0" w:color="auto"/>
                          </w:divBdr>
                        </w:div>
                        <w:div w:id="948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9842">
          <w:marLeft w:val="0"/>
          <w:marRight w:val="0"/>
          <w:marTop w:val="0"/>
          <w:marBottom w:val="0"/>
          <w:divBdr>
            <w:top w:val="none" w:sz="0" w:space="0" w:color="auto"/>
            <w:left w:val="none" w:sz="0" w:space="0" w:color="auto"/>
            <w:bottom w:val="none" w:sz="0" w:space="0" w:color="auto"/>
            <w:right w:val="none" w:sz="0" w:space="0" w:color="auto"/>
          </w:divBdr>
          <w:divsChild>
            <w:div w:id="482238373">
              <w:marLeft w:val="0"/>
              <w:marRight w:val="0"/>
              <w:marTop w:val="0"/>
              <w:marBottom w:val="0"/>
              <w:divBdr>
                <w:top w:val="none" w:sz="0" w:space="0" w:color="auto"/>
                <w:left w:val="none" w:sz="0" w:space="0" w:color="auto"/>
                <w:bottom w:val="none" w:sz="0" w:space="0" w:color="auto"/>
                <w:right w:val="none" w:sz="0" w:space="0" w:color="auto"/>
              </w:divBdr>
              <w:divsChild>
                <w:div w:id="2075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519">
      <w:bodyDiv w:val="1"/>
      <w:marLeft w:val="0"/>
      <w:marRight w:val="0"/>
      <w:marTop w:val="0"/>
      <w:marBottom w:val="0"/>
      <w:divBdr>
        <w:top w:val="none" w:sz="0" w:space="0" w:color="auto"/>
        <w:left w:val="none" w:sz="0" w:space="0" w:color="auto"/>
        <w:bottom w:val="none" w:sz="0" w:space="0" w:color="auto"/>
        <w:right w:val="none" w:sz="0" w:space="0" w:color="auto"/>
      </w:divBdr>
      <w:divsChild>
        <w:div w:id="1416975310">
          <w:marLeft w:val="0"/>
          <w:marRight w:val="0"/>
          <w:marTop w:val="0"/>
          <w:marBottom w:val="0"/>
          <w:divBdr>
            <w:top w:val="none" w:sz="0" w:space="0" w:color="auto"/>
            <w:left w:val="none" w:sz="0" w:space="0" w:color="auto"/>
            <w:bottom w:val="none" w:sz="0" w:space="0" w:color="auto"/>
            <w:right w:val="none" w:sz="0" w:space="0" w:color="auto"/>
          </w:divBdr>
          <w:divsChild>
            <w:div w:id="1917276858">
              <w:marLeft w:val="0"/>
              <w:marRight w:val="0"/>
              <w:marTop w:val="0"/>
              <w:marBottom w:val="0"/>
              <w:divBdr>
                <w:top w:val="none" w:sz="0" w:space="0" w:color="auto"/>
                <w:left w:val="none" w:sz="0" w:space="0" w:color="auto"/>
                <w:bottom w:val="none" w:sz="0" w:space="0" w:color="auto"/>
                <w:right w:val="none" w:sz="0" w:space="0" w:color="auto"/>
              </w:divBdr>
              <w:divsChild>
                <w:div w:id="2038776382">
                  <w:marLeft w:val="0"/>
                  <w:marRight w:val="0"/>
                  <w:marTop w:val="0"/>
                  <w:marBottom w:val="0"/>
                  <w:divBdr>
                    <w:top w:val="none" w:sz="0" w:space="0" w:color="auto"/>
                    <w:left w:val="none" w:sz="0" w:space="0" w:color="auto"/>
                    <w:bottom w:val="none" w:sz="0" w:space="0" w:color="auto"/>
                    <w:right w:val="none" w:sz="0" w:space="0" w:color="auto"/>
                  </w:divBdr>
                  <w:divsChild>
                    <w:div w:id="1721827952">
                      <w:marLeft w:val="150"/>
                      <w:marRight w:val="225"/>
                      <w:marTop w:val="225"/>
                      <w:marBottom w:val="0"/>
                      <w:divBdr>
                        <w:top w:val="none" w:sz="0" w:space="0" w:color="auto"/>
                        <w:left w:val="none" w:sz="0" w:space="0" w:color="auto"/>
                        <w:bottom w:val="none" w:sz="0" w:space="0" w:color="auto"/>
                        <w:right w:val="none" w:sz="0" w:space="0" w:color="auto"/>
                      </w:divBdr>
                      <w:divsChild>
                        <w:div w:id="1229926382">
                          <w:marLeft w:val="0"/>
                          <w:marRight w:val="0"/>
                          <w:marTop w:val="0"/>
                          <w:marBottom w:val="225"/>
                          <w:divBdr>
                            <w:top w:val="none" w:sz="0" w:space="0" w:color="auto"/>
                            <w:left w:val="none" w:sz="0" w:space="0" w:color="auto"/>
                            <w:bottom w:val="none" w:sz="0" w:space="0" w:color="auto"/>
                            <w:right w:val="none" w:sz="0" w:space="0" w:color="auto"/>
                          </w:divBdr>
                          <w:divsChild>
                            <w:div w:id="58315082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3181">
      <w:bodyDiv w:val="1"/>
      <w:marLeft w:val="0"/>
      <w:marRight w:val="0"/>
      <w:marTop w:val="0"/>
      <w:marBottom w:val="0"/>
      <w:divBdr>
        <w:top w:val="none" w:sz="0" w:space="0" w:color="auto"/>
        <w:left w:val="none" w:sz="0" w:space="0" w:color="auto"/>
        <w:bottom w:val="none" w:sz="0" w:space="0" w:color="auto"/>
        <w:right w:val="none" w:sz="0" w:space="0" w:color="auto"/>
      </w:divBdr>
    </w:div>
    <w:div w:id="553201412">
      <w:bodyDiv w:val="1"/>
      <w:marLeft w:val="0"/>
      <w:marRight w:val="0"/>
      <w:marTop w:val="0"/>
      <w:marBottom w:val="0"/>
      <w:divBdr>
        <w:top w:val="none" w:sz="0" w:space="0" w:color="auto"/>
        <w:left w:val="none" w:sz="0" w:space="0" w:color="auto"/>
        <w:bottom w:val="none" w:sz="0" w:space="0" w:color="auto"/>
        <w:right w:val="none" w:sz="0" w:space="0" w:color="auto"/>
      </w:divBdr>
    </w:div>
    <w:div w:id="553925795">
      <w:bodyDiv w:val="1"/>
      <w:marLeft w:val="0"/>
      <w:marRight w:val="0"/>
      <w:marTop w:val="0"/>
      <w:marBottom w:val="0"/>
      <w:divBdr>
        <w:top w:val="none" w:sz="0" w:space="0" w:color="auto"/>
        <w:left w:val="none" w:sz="0" w:space="0" w:color="auto"/>
        <w:bottom w:val="none" w:sz="0" w:space="0" w:color="auto"/>
        <w:right w:val="none" w:sz="0" w:space="0" w:color="auto"/>
      </w:divBdr>
      <w:divsChild>
        <w:div w:id="451050165">
          <w:marLeft w:val="0"/>
          <w:marRight w:val="0"/>
          <w:marTop w:val="0"/>
          <w:marBottom w:val="0"/>
          <w:divBdr>
            <w:top w:val="none" w:sz="0" w:space="0" w:color="auto"/>
            <w:left w:val="none" w:sz="0" w:space="0" w:color="auto"/>
            <w:bottom w:val="none" w:sz="0" w:space="0" w:color="auto"/>
            <w:right w:val="none" w:sz="0" w:space="0" w:color="auto"/>
          </w:divBdr>
          <w:divsChild>
            <w:div w:id="246571979">
              <w:marLeft w:val="0"/>
              <w:marRight w:val="0"/>
              <w:marTop w:val="0"/>
              <w:marBottom w:val="0"/>
              <w:divBdr>
                <w:top w:val="none" w:sz="0" w:space="0" w:color="auto"/>
                <w:left w:val="none" w:sz="0" w:space="0" w:color="auto"/>
                <w:bottom w:val="none" w:sz="0" w:space="0" w:color="auto"/>
                <w:right w:val="none" w:sz="0" w:space="0" w:color="auto"/>
              </w:divBdr>
              <w:divsChild>
                <w:div w:id="1659923090">
                  <w:marLeft w:val="0"/>
                  <w:marRight w:val="0"/>
                  <w:marTop w:val="0"/>
                  <w:marBottom w:val="0"/>
                  <w:divBdr>
                    <w:top w:val="none" w:sz="0" w:space="0" w:color="auto"/>
                    <w:left w:val="none" w:sz="0" w:space="0" w:color="auto"/>
                    <w:bottom w:val="none" w:sz="0" w:space="0" w:color="auto"/>
                    <w:right w:val="none" w:sz="0" w:space="0" w:color="auto"/>
                  </w:divBdr>
                  <w:divsChild>
                    <w:div w:id="1963225092">
                      <w:marLeft w:val="0"/>
                      <w:marRight w:val="0"/>
                      <w:marTop w:val="0"/>
                      <w:marBottom w:val="0"/>
                      <w:divBdr>
                        <w:top w:val="none" w:sz="0" w:space="0" w:color="auto"/>
                        <w:left w:val="none" w:sz="0" w:space="0" w:color="auto"/>
                        <w:bottom w:val="none" w:sz="0" w:space="0" w:color="auto"/>
                        <w:right w:val="none" w:sz="0" w:space="0" w:color="auto"/>
                      </w:divBdr>
                      <w:divsChild>
                        <w:div w:id="1372530750">
                          <w:marLeft w:val="0"/>
                          <w:marRight w:val="0"/>
                          <w:marTop w:val="0"/>
                          <w:marBottom w:val="0"/>
                          <w:divBdr>
                            <w:top w:val="none" w:sz="0" w:space="0" w:color="auto"/>
                            <w:left w:val="none" w:sz="0" w:space="0" w:color="auto"/>
                            <w:bottom w:val="none" w:sz="0" w:space="0" w:color="auto"/>
                            <w:right w:val="none" w:sz="0" w:space="0" w:color="auto"/>
                          </w:divBdr>
                          <w:divsChild>
                            <w:div w:id="1812553707">
                              <w:marLeft w:val="0"/>
                              <w:marRight w:val="0"/>
                              <w:marTop w:val="0"/>
                              <w:marBottom w:val="0"/>
                              <w:divBdr>
                                <w:top w:val="none" w:sz="0" w:space="0" w:color="auto"/>
                                <w:left w:val="none" w:sz="0" w:space="0" w:color="auto"/>
                                <w:bottom w:val="none" w:sz="0" w:space="0" w:color="auto"/>
                                <w:right w:val="none" w:sz="0" w:space="0" w:color="auto"/>
                              </w:divBdr>
                              <w:divsChild>
                                <w:div w:id="819003425">
                                  <w:marLeft w:val="0"/>
                                  <w:marRight w:val="0"/>
                                  <w:marTop w:val="0"/>
                                  <w:marBottom w:val="0"/>
                                  <w:divBdr>
                                    <w:top w:val="none" w:sz="0" w:space="0" w:color="auto"/>
                                    <w:left w:val="none" w:sz="0" w:space="0" w:color="auto"/>
                                    <w:bottom w:val="none" w:sz="0" w:space="0" w:color="auto"/>
                                    <w:right w:val="none" w:sz="0" w:space="0" w:color="auto"/>
                                  </w:divBdr>
                                  <w:divsChild>
                                    <w:div w:id="1960256395">
                                      <w:marLeft w:val="0"/>
                                      <w:marRight w:val="0"/>
                                      <w:marTop w:val="0"/>
                                      <w:marBottom w:val="0"/>
                                      <w:divBdr>
                                        <w:top w:val="none" w:sz="0" w:space="0" w:color="auto"/>
                                        <w:left w:val="none" w:sz="0" w:space="0" w:color="auto"/>
                                        <w:bottom w:val="none" w:sz="0" w:space="0" w:color="auto"/>
                                        <w:right w:val="none" w:sz="0" w:space="0" w:color="auto"/>
                                      </w:divBdr>
                                      <w:divsChild>
                                        <w:div w:id="1521384640">
                                          <w:marLeft w:val="0"/>
                                          <w:marRight w:val="0"/>
                                          <w:marTop w:val="0"/>
                                          <w:marBottom w:val="0"/>
                                          <w:divBdr>
                                            <w:top w:val="none" w:sz="0" w:space="0" w:color="auto"/>
                                            <w:left w:val="none" w:sz="0" w:space="0" w:color="auto"/>
                                            <w:bottom w:val="none" w:sz="0" w:space="0" w:color="auto"/>
                                            <w:right w:val="none" w:sz="0" w:space="0" w:color="auto"/>
                                          </w:divBdr>
                                          <w:divsChild>
                                            <w:div w:id="8386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933323">
      <w:bodyDiv w:val="1"/>
      <w:marLeft w:val="0"/>
      <w:marRight w:val="0"/>
      <w:marTop w:val="0"/>
      <w:marBottom w:val="0"/>
      <w:divBdr>
        <w:top w:val="none" w:sz="0" w:space="0" w:color="auto"/>
        <w:left w:val="none" w:sz="0" w:space="0" w:color="auto"/>
        <w:bottom w:val="none" w:sz="0" w:space="0" w:color="auto"/>
        <w:right w:val="none" w:sz="0" w:space="0" w:color="auto"/>
      </w:divBdr>
    </w:div>
    <w:div w:id="646976170">
      <w:bodyDiv w:val="1"/>
      <w:marLeft w:val="0"/>
      <w:marRight w:val="0"/>
      <w:marTop w:val="0"/>
      <w:marBottom w:val="0"/>
      <w:divBdr>
        <w:top w:val="none" w:sz="0" w:space="0" w:color="auto"/>
        <w:left w:val="none" w:sz="0" w:space="0" w:color="auto"/>
        <w:bottom w:val="none" w:sz="0" w:space="0" w:color="auto"/>
        <w:right w:val="none" w:sz="0" w:space="0" w:color="auto"/>
      </w:divBdr>
    </w:div>
    <w:div w:id="668949556">
      <w:bodyDiv w:val="1"/>
      <w:marLeft w:val="0"/>
      <w:marRight w:val="0"/>
      <w:marTop w:val="0"/>
      <w:marBottom w:val="0"/>
      <w:divBdr>
        <w:top w:val="none" w:sz="0" w:space="0" w:color="auto"/>
        <w:left w:val="none" w:sz="0" w:space="0" w:color="auto"/>
        <w:bottom w:val="none" w:sz="0" w:space="0" w:color="auto"/>
        <w:right w:val="none" w:sz="0" w:space="0" w:color="auto"/>
      </w:divBdr>
    </w:div>
    <w:div w:id="694699485">
      <w:bodyDiv w:val="1"/>
      <w:marLeft w:val="0"/>
      <w:marRight w:val="0"/>
      <w:marTop w:val="0"/>
      <w:marBottom w:val="0"/>
      <w:divBdr>
        <w:top w:val="none" w:sz="0" w:space="0" w:color="auto"/>
        <w:left w:val="none" w:sz="0" w:space="0" w:color="auto"/>
        <w:bottom w:val="none" w:sz="0" w:space="0" w:color="auto"/>
        <w:right w:val="none" w:sz="0" w:space="0" w:color="auto"/>
      </w:divBdr>
    </w:div>
    <w:div w:id="722871857">
      <w:bodyDiv w:val="1"/>
      <w:marLeft w:val="0"/>
      <w:marRight w:val="0"/>
      <w:marTop w:val="0"/>
      <w:marBottom w:val="0"/>
      <w:divBdr>
        <w:top w:val="none" w:sz="0" w:space="0" w:color="auto"/>
        <w:left w:val="none" w:sz="0" w:space="0" w:color="auto"/>
        <w:bottom w:val="none" w:sz="0" w:space="0" w:color="auto"/>
        <w:right w:val="none" w:sz="0" w:space="0" w:color="auto"/>
      </w:divBdr>
    </w:div>
    <w:div w:id="732310385">
      <w:bodyDiv w:val="1"/>
      <w:marLeft w:val="0"/>
      <w:marRight w:val="0"/>
      <w:marTop w:val="0"/>
      <w:marBottom w:val="0"/>
      <w:divBdr>
        <w:top w:val="none" w:sz="0" w:space="0" w:color="auto"/>
        <w:left w:val="none" w:sz="0" w:space="0" w:color="auto"/>
        <w:bottom w:val="none" w:sz="0" w:space="0" w:color="auto"/>
        <w:right w:val="none" w:sz="0" w:space="0" w:color="auto"/>
      </w:divBdr>
      <w:divsChild>
        <w:div w:id="155462250">
          <w:marLeft w:val="0"/>
          <w:marRight w:val="0"/>
          <w:marTop w:val="0"/>
          <w:marBottom w:val="0"/>
          <w:divBdr>
            <w:top w:val="none" w:sz="0" w:space="0" w:color="auto"/>
            <w:left w:val="none" w:sz="0" w:space="0" w:color="auto"/>
            <w:bottom w:val="none" w:sz="0" w:space="0" w:color="auto"/>
            <w:right w:val="none" w:sz="0" w:space="0" w:color="auto"/>
          </w:divBdr>
          <w:divsChild>
            <w:div w:id="1884711847">
              <w:marLeft w:val="0"/>
              <w:marRight w:val="0"/>
              <w:marTop w:val="0"/>
              <w:marBottom w:val="0"/>
              <w:divBdr>
                <w:top w:val="none" w:sz="0" w:space="0" w:color="auto"/>
                <w:left w:val="none" w:sz="0" w:space="0" w:color="auto"/>
                <w:bottom w:val="none" w:sz="0" w:space="0" w:color="auto"/>
                <w:right w:val="none" w:sz="0" w:space="0" w:color="auto"/>
              </w:divBdr>
              <w:divsChild>
                <w:div w:id="1123957597">
                  <w:marLeft w:val="0"/>
                  <w:marRight w:val="0"/>
                  <w:marTop w:val="0"/>
                  <w:marBottom w:val="0"/>
                  <w:divBdr>
                    <w:top w:val="none" w:sz="0" w:space="0" w:color="auto"/>
                    <w:left w:val="none" w:sz="0" w:space="0" w:color="auto"/>
                    <w:bottom w:val="none" w:sz="0" w:space="0" w:color="auto"/>
                    <w:right w:val="none" w:sz="0" w:space="0" w:color="auto"/>
                  </w:divBdr>
                  <w:divsChild>
                    <w:div w:id="4472381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36131944">
      <w:bodyDiv w:val="1"/>
      <w:marLeft w:val="0"/>
      <w:marRight w:val="0"/>
      <w:marTop w:val="0"/>
      <w:marBottom w:val="0"/>
      <w:divBdr>
        <w:top w:val="none" w:sz="0" w:space="0" w:color="auto"/>
        <w:left w:val="none" w:sz="0" w:space="0" w:color="auto"/>
        <w:bottom w:val="none" w:sz="0" w:space="0" w:color="auto"/>
        <w:right w:val="none" w:sz="0" w:space="0" w:color="auto"/>
      </w:divBdr>
    </w:div>
    <w:div w:id="750321971">
      <w:bodyDiv w:val="1"/>
      <w:marLeft w:val="0"/>
      <w:marRight w:val="0"/>
      <w:marTop w:val="0"/>
      <w:marBottom w:val="0"/>
      <w:divBdr>
        <w:top w:val="none" w:sz="0" w:space="0" w:color="auto"/>
        <w:left w:val="none" w:sz="0" w:space="0" w:color="auto"/>
        <w:bottom w:val="none" w:sz="0" w:space="0" w:color="auto"/>
        <w:right w:val="none" w:sz="0" w:space="0" w:color="auto"/>
      </w:divBdr>
    </w:div>
    <w:div w:id="761334895">
      <w:bodyDiv w:val="1"/>
      <w:marLeft w:val="0"/>
      <w:marRight w:val="0"/>
      <w:marTop w:val="0"/>
      <w:marBottom w:val="0"/>
      <w:divBdr>
        <w:top w:val="none" w:sz="0" w:space="0" w:color="auto"/>
        <w:left w:val="none" w:sz="0" w:space="0" w:color="auto"/>
        <w:bottom w:val="none" w:sz="0" w:space="0" w:color="auto"/>
        <w:right w:val="none" w:sz="0" w:space="0" w:color="auto"/>
      </w:divBdr>
    </w:div>
    <w:div w:id="778992927">
      <w:bodyDiv w:val="1"/>
      <w:marLeft w:val="0"/>
      <w:marRight w:val="0"/>
      <w:marTop w:val="0"/>
      <w:marBottom w:val="0"/>
      <w:divBdr>
        <w:top w:val="none" w:sz="0" w:space="0" w:color="auto"/>
        <w:left w:val="none" w:sz="0" w:space="0" w:color="auto"/>
        <w:bottom w:val="none" w:sz="0" w:space="0" w:color="auto"/>
        <w:right w:val="none" w:sz="0" w:space="0" w:color="auto"/>
      </w:divBdr>
    </w:div>
    <w:div w:id="792214091">
      <w:bodyDiv w:val="1"/>
      <w:marLeft w:val="0"/>
      <w:marRight w:val="0"/>
      <w:marTop w:val="0"/>
      <w:marBottom w:val="0"/>
      <w:divBdr>
        <w:top w:val="none" w:sz="0" w:space="0" w:color="auto"/>
        <w:left w:val="none" w:sz="0" w:space="0" w:color="auto"/>
        <w:bottom w:val="none" w:sz="0" w:space="0" w:color="auto"/>
        <w:right w:val="none" w:sz="0" w:space="0" w:color="auto"/>
      </w:divBdr>
    </w:div>
    <w:div w:id="830170833">
      <w:bodyDiv w:val="1"/>
      <w:marLeft w:val="0"/>
      <w:marRight w:val="0"/>
      <w:marTop w:val="0"/>
      <w:marBottom w:val="0"/>
      <w:divBdr>
        <w:top w:val="none" w:sz="0" w:space="0" w:color="auto"/>
        <w:left w:val="none" w:sz="0" w:space="0" w:color="auto"/>
        <w:bottom w:val="none" w:sz="0" w:space="0" w:color="auto"/>
        <w:right w:val="none" w:sz="0" w:space="0" w:color="auto"/>
      </w:divBdr>
    </w:div>
    <w:div w:id="838231226">
      <w:bodyDiv w:val="1"/>
      <w:marLeft w:val="0"/>
      <w:marRight w:val="0"/>
      <w:marTop w:val="0"/>
      <w:marBottom w:val="0"/>
      <w:divBdr>
        <w:top w:val="none" w:sz="0" w:space="0" w:color="auto"/>
        <w:left w:val="none" w:sz="0" w:space="0" w:color="auto"/>
        <w:bottom w:val="none" w:sz="0" w:space="0" w:color="auto"/>
        <w:right w:val="none" w:sz="0" w:space="0" w:color="auto"/>
      </w:divBdr>
    </w:div>
    <w:div w:id="855919985">
      <w:bodyDiv w:val="1"/>
      <w:marLeft w:val="0"/>
      <w:marRight w:val="0"/>
      <w:marTop w:val="0"/>
      <w:marBottom w:val="0"/>
      <w:divBdr>
        <w:top w:val="none" w:sz="0" w:space="0" w:color="auto"/>
        <w:left w:val="none" w:sz="0" w:space="0" w:color="auto"/>
        <w:bottom w:val="none" w:sz="0" w:space="0" w:color="auto"/>
        <w:right w:val="none" w:sz="0" w:space="0" w:color="auto"/>
      </w:divBdr>
    </w:div>
    <w:div w:id="874578764">
      <w:bodyDiv w:val="1"/>
      <w:marLeft w:val="0"/>
      <w:marRight w:val="0"/>
      <w:marTop w:val="0"/>
      <w:marBottom w:val="0"/>
      <w:divBdr>
        <w:top w:val="none" w:sz="0" w:space="0" w:color="auto"/>
        <w:left w:val="none" w:sz="0" w:space="0" w:color="auto"/>
        <w:bottom w:val="none" w:sz="0" w:space="0" w:color="auto"/>
        <w:right w:val="none" w:sz="0" w:space="0" w:color="auto"/>
      </w:divBdr>
    </w:div>
    <w:div w:id="901910133">
      <w:bodyDiv w:val="1"/>
      <w:marLeft w:val="0"/>
      <w:marRight w:val="0"/>
      <w:marTop w:val="0"/>
      <w:marBottom w:val="0"/>
      <w:divBdr>
        <w:top w:val="none" w:sz="0" w:space="0" w:color="auto"/>
        <w:left w:val="none" w:sz="0" w:space="0" w:color="auto"/>
        <w:bottom w:val="none" w:sz="0" w:space="0" w:color="auto"/>
        <w:right w:val="none" w:sz="0" w:space="0" w:color="auto"/>
      </w:divBdr>
    </w:div>
    <w:div w:id="903880874">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3">
          <w:marLeft w:val="0"/>
          <w:marRight w:val="0"/>
          <w:marTop w:val="0"/>
          <w:marBottom w:val="0"/>
          <w:divBdr>
            <w:top w:val="none" w:sz="0" w:space="0" w:color="auto"/>
            <w:left w:val="none" w:sz="0" w:space="0" w:color="auto"/>
            <w:bottom w:val="none" w:sz="0" w:space="0" w:color="auto"/>
            <w:right w:val="none" w:sz="0" w:space="0" w:color="auto"/>
          </w:divBdr>
          <w:divsChild>
            <w:div w:id="1647398323">
              <w:marLeft w:val="0"/>
              <w:marRight w:val="0"/>
              <w:marTop w:val="0"/>
              <w:marBottom w:val="0"/>
              <w:divBdr>
                <w:top w:val="none" w:sz="0" w:space="0" w:color="auto"/>
                <w:left w:val="none" w:sz="0" w:space="0" w:color="auto"/>
                <w:bottom w:val="none" w:sz="0" w:space="0" w:color="auto"/>
                <w:right w:val="none" w:sz="0" w:space="0" w:color="auto"/>
              </w:divBdr>
              <w:divsChild>
                <w:div w:id="16375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9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7111">
          <w:marLeft w:val="0"/>
          <w:marRight w:val="0"/>
          <w:marTop w:val="0"/>
          <w:marBottom w:val="0"/>
          <w:divBdr>
            <w:top w:val="none" w:sz="0" w:space="0" w:color="auto"/>
            <w:left w:val="none" w:sz="0" w:space="0" w:color="auto"/>
            <w:bottom w:val="none" w:sz="0" w:space="0" w:color="auto"/>
            <w:right w:val="none" w:sz="0" w:space="0" w:color="auto"/>
          </w:divBdr>
          <w:divsChild>
            <w:div w:id="2026901675">
              <w:marLeft w:val="0"/>
              <w:marRight w:val="0"/>
              <w:marTop w:val="0"/>
              <w:marBottom w:val="0"/>
              <w:divBdr>
                <w:top w:val="none" w:sz="0" w:space="0" w:color="auto"/>
                <w:left w:val="none" w:sz="0" w:space="0" w:color="auto"/>
                <w:bottom w:val="none" w:sz="0" w:space="0" w:color="auto"/>
                <w:right w:val="none" w:sz="0" w:space="0" w:color="auto"/>
              </w:divBdr>
              <w:divsChild>
                <w:div w:id="1203590370">
                  <w:marLeft w:val="0"/>
                  <w:marRight w:val="0"/>
                  <w:marTop w:val="0"/>
                  <w:marBottom w:val="300"/>
                  <w:divBdr>
                    <w:top w:val="none" w:sz="0" w:space="0" w:color="auto"/>
                    <w:left w:val="none" w:sz="0" w:space="0" w:color="auto"/>
                    <w:bottom w:val="none" w:sz="0" w:space="0" w:color="auto"/>
                    <w:right w:val="none" w:sz="0" w:space="0" w:color="auto"/>
                  </w:divBdr>
                  <w:divsChild>
                    <w:div w:id="1094976511">
                      <w:marLeft w:val="0"/>
                      <w:marRight w:val="0"/>
                      <w:marTop w:val="0"/>
                      <w:marBottom w:val="0"/>
                      <w:divBdr>
                        <w:top w:val="none" w:sz="0" w:space="0" w:color="auto"/>
                        <w:left w:val="none" w:sz="0" w:space="0" w:color="auto"/>
                        <w:bottom w:val="none" w:sz="0" w:space="0" w:color="auto"/>
                        <w:right w:val="none" w:sz="0" w:space="0" w:color="auto"/>
                      </w:divBdr>
                      <w:divsChild>
                        <w:div w:id="386415823">
                          <w:marLeft w:val="0"/>
                          <w:marRight w:val="0"/>
                          <w:marTop w:val="0"/>
                          <w:marBottom w:val="0"/>
                          <w:divBdr>
                            <w:top w:val="none" w:sz="0" w:space="0" w:color="auto"/>
                            <w:left w:val="none" w:sz="0" w:space="0" w:color="auto"/>
                            <w:bottom w:val="none" w:sz="0" w:space="0" w:color="auto"/>
                            <w:right w:val="none" w:sz="0" w:space="0" w:color="auto"/>
                          </w:divBdr>
                        </w:div>
                        <w:div w:id="897596549">
                          <w:marLeft w:val="0"/>
                          <w:marRight w:val="0"/>
                          <w:marTop w:val="0"/>
                          <w:marBottom w:val="0"/>
                          <w:divBdr>
                            <w:top w:val="none" w:sz="0" w:space="0" w:color="auto"/>
                            <w:left w:val="none" w:sz="0" w:space="0" w:color="auto"/>
                            <w:bottom w:val="none" w:sz="0" w:space="0" w:color="auto"/>
                            <w:right w:val="none" w:sz="0" w:space="0" w:color="auto"/>
                          </w:divBdr>
                        </w:div>
                      </w:divsChild>
                    </w:div>
                    <w:div w:id="15047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92688">
      <w:bodyDiv w:val="1"/>
      <w:marLeft w:val="0"/>
      <w:marRight w:val="0"/>
      <w:marTop w:val="0"/>
      <w:marBottom w:val="0"/>
      <w:divBdr>
        <w:top w:val="none" w:sz="0" w:space="0" w:color="auto"/>
        <w:left w:val="none" w:sz="0" w:space="0" w:color="auto"/>
        <w:bottom w:val="none" w:sz="0" w:space="0" w:color="auto"/>
        <w:right w:val="none" w:sz="0" w:space="0" w:color="auto"/>
      </w:divBdr>
    </w:div>
    <w:div w:id="947008414">
      <w:bodyDiv w:val="1"/>
      <w:marLeft w:val="0"/>
      <w:marRight w:val="0"/>
      <w:marTop w:val="0"/>
      <w:marBottom w:val="0"/>
      <w:divBdr>
        <w:top w:val="none" w:sz="0" w:space="0" w:color="auto"/>
        <w:left w:val="none" w:sz="0" w:space="0" w:color="auto"/>
        <w:bottom w:val="none" w:sz="0" w:space="0" w:color="auto"/>
        <w:right w:val="none" w:sz="0" w:space="0" w:color="auto"/>
      </w:divBdr>
    </w:div>
    <w:div w:id="961115497">
      <w:bodyDiv w:val="1"/>
      <w:marLeft w:val="0"/>
      <w:marRight w:val="0"/>
      <w:marTop w:val="0"/>
      <w:marBottom w:val="0"/>
      <w:divBdr>
        <w:top w:val="none" w:sz="0" w:space="0" w:color="auto"/>
        <w:left w:val="none" w:sz="0" w:space="0" w:color="auto"/>
        <w:bottom w:val="none" w:sz="0" w:space="0" w:color="auto"/>
        <w:right w:val="none" w:sz="0" w:space="0" w:color="auto"/>
      </w:divBdr>
      <w:divsChild>
        <w:div w:id="391386949">
          <w:marLeft w:val="0"/>
          <w:marRight w:val="0"/>
          <w:marTop w:val="0"/>
          <w:marBottom w:val="0"/>
          <w:divBdr>
            <w:top w:val="none" w:sz="0" w:space="0" w:color="auto"/>
            <w:left w:val="none" w:sz="0" w:space="0" w:color="auto"/>
            <w:bottom w:val="none" w:sz="0" w:space="0" w:color="auto"/>
            <w:right w:val="none" w:sz="0" w:space="0" w:color="auto"/>
          </w:divBdr>
          <w:divsChild>
            <w:div w:id="583030907">
              <w:marLeft w:val="0"/>
              <w:marRight w:val="0"/>
              <w:marTop w:val="0"/>
              <w:marBottom w:val="0"/>
              <w:divBdr>
                <w:top w:val="none" w:sz="0" w:space="0" w:color="auto"/>
                <w:left w:val="none" w:sz="0" w:space="0" w:color="auto"/>
                <w:bottom w:val="none" w:sz="0" w:space="0" w:color="auto"/>
                <w:right w:val="none" w:sz="0" w:space="0" w:color="auto"/>
              </w:divBdr>
              <w:divsChild>
                <w:div w:id="8473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213">
          <w:marLeft w:val="0"/>
          <w:marRight w:val="0"/>
          <w:marTop w:val="0"/>
          <w:marBottom w:val="0"/>
          <w:divBdr>
            <w:top w:val="none" w:sz="0" w:space="0" w:color="auto"/>
            <w:left w:val="none" w:sz="0" w:space="0" w:color="auto"/>
            <w:bottom w:val="none" w:sz="0" w:space="0" w:color="auto"/>
            <w:right w:val="none" w:sz="0" w:space="0" w:color="auto"/>
          </w:divBdr>
          <w:divsChild>
            <w:div w:id="554849895">
              <w:marLeft w:val="0"/>
              <w:marRight w:val="0"/>
              <w:marTop w:val="0"/>
              <w:marBottom w:val="0"/>
              <w:divBdr>
                <w:top w:val="none" w:sz="0" w:space="0" w:color="auto"/>
                <w:left w:val="none" w:sz="0" w:space="0" w:color="auto"/>
                <w:bottom w:val="none" w:sz="0" w:space="0" w:color="auto"/>
                <w:right w:val="none" w:sz="0" w:space="0" w:color="auto"/>
              </w:divBdr>
              <w:divsChild>
                <w:div w:id="1979720133">
                  <w:marLeft w:val="0"/>
                  <w:marRight w:val="0"/>
                  <w:marTop w:val="0"/>
                  <w:marBottom w:val="0"/>
                  <w:divBdr>
                    <w:top w:val="none" w:sz="0" w:space="0" w:color="auto"/>
                    <w:left w:val="none" w:sz="0" w:space="0" w:color="auto"/>
                    <w:bottom w:val="none" w:sz="0" w:space="0" w:color="auto"/>
                    <w:right w:val="none" w:sz="0" w:space="0" w:color="auto"/>
                  </w:divBdr>
                  <w:divsChild>
                    <w:div w:id="2014717674">
                      <w:marLeft w:val="0"/>
                      <w:marRight w:val="0"/>
                      <w:marTop w:val="0"/>
                      <w:marBottom w:val="0"/>
                      <w:divBdr>
                        <w:top w:val="none" w:sz="0" w:space="0" w:color="auto"/>
                        <w:left w:val="none" w:sz="0" w:space="0" w:color="auto"/>
                        <w:bottom w:val="none" w:sz="0" w:space="0" w:color="auto"/>
                        <w:right w:val="none" w:sz="0" w:space="0" w:color="auto"/>
                      </w:divBdr>
                      <w:divsChild>
                        <w:div w:id="781656628">
                          <w:marLeft w:val="0"/>
                          <w:marRight w:val="0"/>
                          <w:marTop w:val="0"/>
                          <w:marBottom w:val="0"/>
                          <w:divBdr>
                            <w:top w:val="none" w:sz="0" w:space="0" w:color="auto"/>
                            <w:left w:val="none" w:sz="0" w:space="0" w:color="auto"/>
                            <w:bottom w:val="none" w:sz="0" w:space="0" w:color="auto"/>
                            <w:right w:val="none" w:sz="0" w:space="0" w:color="auto"/>
                          </w:divBdr>
                        </w:div>
                        <w:div w:id="1213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79175">
      <w:bodyDiv w:val="1"/>
      <w:marLeft w:val="0"/>
      <w:marRight w:val="0"/>
      <w:marTop w:val="0"/>
      <w:marBottom w:val="0"/>
      <w:divBdr>
        <w:top w:val="none" w:sz="0" w:space="0" w:color="auto"/>
        <w:left w:val="none" w:sz="0" w:space="0" w:color="auto"/>
        <w:bottom w:val="none" w:sz="0" w:space="0" w:color="auto"/>
        <w:right w:val="none" w:sz="0" w:space="0" w:color="auto"/>
      </w:divBdr>
    </w:div>
    <w:div w:id="974606758">
      <w:bodyDiv w:val="1"/>
      <w:marLeft w:val="0"/>
      <w:marRight w:val="0"/>
      <w:marTop w:val="0"/>
      <w:marBottom w:val="0"/>
      <w:divBdr>
        <w:top w:val="none" w:sz="0" w:space="0" w:color="auto"/>
        <w:left w:val="none" w:sz="0" w:space="0" w:color="auto"/>
        <w:bottom w:val="none" w:sz="0" w:space="0" w:color="auto"/>
        <w:right w:val="none" w:sz="0" w:space="0" w:color="auto"/>
      </w:divBdr>
    </w:div>
    <w:div w:id="982658579">
      <w:bodyDiv w:val="1"/>
      <w:marLeft w:val="0"/>
      <w:marRight w:val="0"/>
      <w:marTop w:val="0"/>
      <w:marBottom w:val="0"/>
      <w:divBdr>
        <w:top w:val="none" w:sz="0" w:space="0" w:color="auto"/>
        <w:left w:val="none" w:sz="0" w:space="0" w:color="auto"/>
        <w:bottom w:val="none" w:sz="0" w:space="0" w:color="auto"/>
        <w:right w:val="none" w:sz="0" w:space="0" w:color="auto"/>
      </w:divBdr>
    </w:div>
    <w:div w:id="1040667533">
      <w:bodyDiv w:val="1"/>
      <w:marLeft w:val="0"/>
      <w:marRight w:val="0"/>
      <w:marTop w:val="0"/>
      <w:marBottom w:val="0"/>
      <w:divBdr>
        <w:top w:val="none" w:sz="0" w:space="0" w:color="auto"/>
        <w:left w:val="none" w:sz="0" w:space="0" w:color="auto"/>
        <w:bottom w:val="none" w:sz="0" w:space="0" w:color="auto"/>
        <w:right w:val="none" w:sz="0" w:space="0" w:color="auto"/>
      </w:divBdr>
    </w:div>
    <w:div w:id="1059402408">
      <w:bodyDiv w:val="1"/>
      <w:marLeft w:val="0"/>
      <w:marRight w:val="0"/>
      <w:marTop w:val="0"/>
      <w:marBottom w:val="0"/>
      <w:divBdr>
        <w:top w:val="none" w:sz="0" w:space="0" w:color="auto"/>
        <w:left w:val="none" w:sz="0" w:space="0" w:color="auto"/>
        <w:bottom w:val="none" w:sz="0" w:space="0" w:color="auto"/>
        <w:right w:val="none" w:sz="0" w:space="0" w:color="auto"/>
      </w:divBdr>
    </w:div>
    <w:div w:id="1070613354">
      <w:bodyDiv w:val="1"/>
      <w:marLeft w:val="0"/>
      <w:marRight w:val="0"/>
      <w:marTop w:val="0"/>
      <w:marBottom w:val="0"/>
      <w:divBdr>
        <w:top w:val="none" w:sz="0" w:space="0" w:color="auto"/>
        <w:left w:val="none" w:sz="0" w:space="0" w:color="auto"/>
        <w:bottom w:val="none" w:sz="0" w:space="0" w:color="auto"/>
        <w:right w:val="none" w:sz="0" w:space="0" w:color="auto"/>
      </w:divBdr>
    </w:div>
    <w:div w:id="1078137400">
      <w:bodyDiv w:val="1"/>
      <w:marLeft w:val="0"/>
      <w:marRight w:val="0"/>
      <w:marTop w:val="0"/>
      <w:marBottom w:val="0"/>
      <w:divBdr>
        <w:top w:val="none" w:sz="0" w:space="0" w:color="auto"/>
        <w:left w:val="none" w:sz="0" w:space="0" w:color="auto"/>
        <w:bottom w:val="none" w:sz="0" w:space="0" w:color="auto"/>
        <w:right w:val="none" w:sz="0" w:space="0" w:color="auto"/>
      </w:divBdr>
    </w:div>
    <w:div w:id="1101998159">
      <w:bodyDiv w:val="1"/>
      <w:marLeft w:val="0"/>
      <w:marRight w:val="0"/>
      <w:marTop w:val="0"/>
      <w:marBottom w:val="0"/>
      <w:divBdr>
        <w:top w:val="none" w:sz="0" w:space="0" w:color="auto"/>
        <w:left w:val="none" w:sz="0" w:space="0" w:color="auto"/>
        <w:bottom w:val="none" w:sz="0" w:space="0" w:color="auto"/>
        <w:right w:val="none" w:sz="0" w:space="0" w:color="auto"/>
      </w:divBdr>
    </w:div>
    <w:div w:id="1113940077">
      <w:bodyDiv w:val="1"/>
      <w:marLeft w:val="0"/>
      <w:marRight w:val="0"/>
      <w:marTop w:val="0"/>
      <w:marBottom w:val="0"/>
      <w:divBdr>
        <w:top w:val="none" w:sz="0" w:space="0" w:color="auto"/>
        <w:left w:val="none" w:sz="0" w:space="0" w:color="auto"/>
        <w:bottom w:val="none" w:sz="0" w:space="0" w:color="auto"/>
        <w:right w:val="none" w:sz="0" w:space="0" w:color="auto"/>
      </w:divBdr>
    </w:div>
    <w:div w:id="1132409494">
      <w:bodyDiv w:val="1"/>
      <w:marLeft w:val="0"/>
      <w:marRight w:val="0"/>
      <w:marTop w:val="0"/>
      <w:marBottom w:val="0"/>
      <w:divBdr>
        <w:top w:val="none" w:sz="0" w:space="0" w:color="auto"/>
        <w:left w:val="none" w:sz="0" w:space="0" w:color="auto"/>
        <w:bottom w:val="none" w:sz="0" w:space="0" w:color="auto"/>
        <w:right w:val="none" w:sz="0" w:space="0" w:color="auto"/>
      </w:divBdr>
      <w:divsChild>
        <w:div w:id="1131283485">
          <w:marLeft w:val="0"/>
          <w:marRight w:val="0"/>
          <w:marTop w:val="0"/>
          <w:marBottom w:val="0"/>
          <w:divBdr>
            <w:top w:val="none" w:sz="0" w:space="0" w:color="auto"/>
            <w:left w:val="none" w:sz="0" w:space="0" w:color="auto"/>
            <w:bottom w:val="none" w:sz="0" w:space="0" w:color="auto"/>
            <w:right w:val="none" w:sz="0" w:space="0" w:color="auto"/>
          </w:divBdr>
          <w:divsChild>
            <w:div w:id="1287856195">
              <w:marLeft w:val="0"/>
              <w:marRight w:val="0"/>
              <w:marTop w:val="0"/>
              <w:marBottom w:val="0"/>
              <w:divBdr>
                <w:top w:val="none" w:sz="0" w:space="0" w:color="auto"/>
                <w:left w:val="none" w:sz="0" w:space="0" w:color="auto"/>
                <w:bottom w:val="none" w:sz="0" w:space="0" w:color="auto"/>
                <w:right w:val="none" w:sz="0" w:space="0" w:color="auto"/>
              </w:divBdr>
              <w:divsChild>
                <w:div w:id="676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6806">
          <w:marLeft w:val="0"/>
          <w:marRight w:val="0"/>
          <w:marTop w:val="0"/>
          <w:marBottom w:val="0"/>
          <w:divBdr>
            <w:top w:val="none" w:sz="0" w:space="0" w:color="auto"/>
            <w:left w:val="none" w:sz="0" w:space="0" w:color="auto"/>
            <w:bottom w:val="none" w:sz="0" w:space="0" w:color="auto"/>
            <w:right w:val="none" w:sz="0" w:space="0" w:color="auto"/>
          </w:divBdr>
          <w:divsChild>
            <w:div w:id="1406490255">
              <w:marLeft w:val="0"/>
              <w:marRight w:val="0"/>
              <w:marTop w:val="0"/>
              <w:marBottom w:val="0"/>
              <w:divBdr>
                <w:top w:val="none" w:sz="0" w:space="0" w:color="auto"/>
                <w:left w:val="none" w:sz="0" w:space="0" w:color="auto"/>
                <w:bottom w:val="none" w:sz="0" w:space="0" w:color="auto"/>
                <w:right w:val="none" w:sz="0" w:space="0" w:color="auto"/>
              </w:divBdr>
              <w:divsChild>
                <w:div w:id="1666204275">
                  <w:marLeft w:val="0"/>
                  <w:marRight w:val="0"/>
                  <w:marTop w:val="0"/>
                  <w:marBottom w:val="0"/>
                  <w:divBdr>
                    <w:top w:val="none" w:sz="0" w:space="0" w:color="auto"/>
                    <w:left w:val="none" w:sz="0" w:space="0" w:color="auto"/>
                    <w:bottom w:val="none" w:sz="0" w:space="0" w:color="auto"/>
                    <w:right w:val="none" w:sz="0" w:space="0" w:color="auto"/>
                  </w:divBdr>
                  <w:divsChild>
                    <w:div w:id="493838312">
                      <w:marLeft w:val="0"/>
                      <w:marRight w:val="0"/>
                      <w:marTop w:val="0"/>
                      <w:marBottom w:val="0"/>
                      <w:divBdr>
                        <w:top w:val="none" w:sz="0" w:space="0" w:color="auto"/>
                        <w:left w:val="none" w:sz="0" w:space="0" w:color="auto"/>
                        <w:bottom w:val="none" w:sz="0" w:space="0" w:color="auto"/>
                        <w:right w:val="none" w:sz="0" w:space="0" w:color="auto"/>
                      </w:divBdr>
                      <w:divsChild>
                        <w:div w:id="463351568">
                          <w:marLeft w:val="0"/>
                          <w:marRight w:val="0"/>
                          <w:marTop w:val="0"/>
                          <w:marBottom w:val="0"/>
                          <w:divBdr>
                            <w:top w:val="none" w:sz="0" w:space="0" w:color="auto"/>
                            <w:left w:val="none" w:sz="0" w:space="0" w:color="auto"/>
                            <w:bottom w:val="none" w:sz="0" w:space="0" w:color="auto"/>
                            <w:right w:val="none" w:sz="0" w:space="0" w:color="auto"/>
                          </w:divBdr>
                        </w:div>
                        <w:div w:id="11381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5535">
      <w:bodyDiv w:val="1"/>
      <w:marLeft w:val="0"/>
      <w:marRight w:val="0"/>
      <w:marTop w:val="0"/>
      <w:marBottom w:val="0"/>
      <w:divBdr>
        <w:top w:val="none" w:sz="0" w:space="0" w:color="auto"/>
        <w:left w:val="none" w:sz="0" w:space="0" w:color="auto"/>
        <w:bottom w:val="none" w:sz="0" w:space="0" w:color="auto"/>
        <w:right w:val="none" w:sz="0" w:space="0" w:color="auto"/>
      </w:divBdr>
    </w:div>
    <w:div w:id="1205678500">
      <w:bodyDiv w:val="1"/>
      <w:marLeft w:val="0"/>
      <w:marRight w:val="0"/>
      <w:marTop w:val="0"/>
      <w:marBottom w:val="0"/>
      <w:divBdr>
        <w:top w:val="none" w:sz="0" w:space="0" w:color="auto"/>
        <w:left w:val="none" w:sz="0" w:space="0" w:color="auto"/>
        <w:bottom w:val="none" w:sz="0" w:space="0" w:color="auto"/>
        <w:right w:val="none" w:sz="0" w:space="0" w:color="auto"/>
      </w:divBdr>
    </w:div>
    <w:div w:id="1245529805">
      <w:bodyDiv w:val="1"/>
      <w:marLeft w:val="0"/>
      <w:marRight w:val="0"/>
      <w:marTop w:val="0"/>
      <w:marBottom w:val="0"/>
      <w:divBdr>
        <w:top w:val="none" w:sz="0" w:space="0" w:color="auto"/>
        <w:left w:val="none" w:sz="0" w:space="0" w:color="auto"/>
        <w:bottom w:val="none" w:sz="0" w:space="0" w:color="auto"/>
        <w:right w:val="none" w:sz="0" w:space="0" w:color="auto"/>
      </w:divBdr>
      <w:divsChild>
        <w:div w:id="1790779136">
          <w:marLeft w:val="0"/>
          <w:marRight w:val="0"/>
          <w:marTop w:val="0"/>
          <w:marBottom w:val="0"/>
          <w:divBdr>
            <w:top w:val="none" w:sz="0" w:space="0" w:color="auto"/>
            <w:left w:val="none" w:sz="0" w:space="0" w:color="auto"/>
            <w:bottom w:val="none" w:sz="0" w:space="0" w:color="auto"/>
            <w:right w:val="none" w:sz="0" w:space="0" w:color="auto"/>
          </w:divBdr>
        </w:div>
      </w:divsChild>
    </w:div>
    <w:div w:id="1256013256">
      <w:bodyDiv w:val="1"/>
      <w:marLeft w:val="0"/>
      <w:marRight w:val="0"/>
      <w:marTop w:val="0"/>
      <w:marBottom w:val="0"/>
      <w:divBdr>
        <w:top w:val="none" w:sz="0" w:space="0" w:color="auto"/>
        <w:left w:val="none" w:sz="0" w:space="0" w:color="auto"/>
        <w:bottom w:val="none" w:sz="0" w:space="0" w:color="auto"/>
        <w:right w:val="none" w:sz="0" w:space="0" w:color="auto"/>
      </w:divBdr>
    </w:div>
    <w:div w:id="1264877001">
      <w:bodyDiv w:val="1"/>
      <w:marLeft w:val="0"/>
      <w:marRight w:val="0"/>
      <w:marTop w:val="0"/>
      <w:marBottom w:val="0"/>
      <w:divBdr>
        <w:top w:val="none" w:sz="0" w:space="0" w:color="auto"/>
        <w:left w:val="none" w:sz="0" w:space="0" w:color="auto"/>
        <w:bottom w:val="none" w:sz="0" w:space="0" w:color="auto"/>
        <w:right w:val="none" w:sz="0" w:space="0" w:color="auto"/>
      </w:divBdr>
      <w:divsChild>
        <w:div w:id="1643198473">
          <w:marLeft w:val="0"/>
          <w:marRight w:val="0"/>
          <w:marTop w:val="0"/>
          <w:marBottom w:val="0"/>
          <w:divBdr>
            <w:top w:val="none" w:sz="0" w:space="0" w:color="auto"/>
            <w:left w:val="none" w:sz="0" w:space="0" w:color="auto"/>
            <w:bottom w:val="none" w:sz="0" w:space="0" w:color="auto"/>
            <w:right w:val="none" w:sz="0" w:space="0" w:color="auto"/>
          </w:divBdr>
          <w:divsChild>
            <w:div w:id="2064407908">
              <w:marLeft w:val="0"/>
              <w:marRight w:val="0"/>
              <w:marTop w:val="0"/>
              <w:marBottom w:val="0"/>
              <w:divBdr>
                <w:top w:val="none" w:sz="0" w:space="0" w:color="auto"/>
                <w:left w:val="none" w:sz="0" w:space="0" w:color="auto"/>
                <w:bottom w:val="none" w:sz="0" w:space="0" w:color="auto"/>
                <w:right w:val="none" w:sz="0" w:space="0" w:color="auto"/>
              </w:divBdr>
              <w:divsChild>
                <w:div w:id="894779456">
                  <w:marLeft w:val="0"/>
                  <w:marRight w:val="0"/>
                  <w:marTop w:val="0"/>
                  <w:marBottom w:val="0"/>
                  <w:divBdr>
                    <w:top w:val="none" w:sz="0" w:space="0" w:color="auto"/>
                    <w:left w:val="none" w:sz="0" w:space="0" w:color="auto"/>
                    <w:bottom w:val="none" w:sz="0" w:space="0" w:color="auto"/>
                    <w:right w:val="none" w:sz="0" w:space="0" w:color="auto"/>
                  </w:divBdr>
                  <w:divsChild>
                    <w:div w:id="1977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28280">
      <w:bodyDiv w:val="1"/>
      <w:marLeft w:val="0"/>
      <w:marRight w:val="0"/>
      <w:marTop w:val="0"/>
      <w:marBottom w:val="0"/>
      <w:divBdr>
        <w:top w:val="none" w:sz="0" w:space="0" w:color="auto"/>
        <w:left w:val="none" w:sz="0" w:space="0" w:color="auto"/>
        <w:bottom w:val="none" w:sz="0" w:space="0" w:color="auto"/>
        <w:right w:val="none" w:sz="0" w:space="0" w:color="auto"/>
      </w:divBdr>
    </w:div>
    <w:div w:id="1330596431">
      <w:bodyDiv w:val="1"/>
      <w:marLeft w:val="0"/>
      <w:marRight w:val="0"/>
      <w:marTop w:val="0"/>
      <w:marBottom w:val="0"/>
      <w:divBdr>
        <w:top w:val="none" w:sz="0" w:space="0" w:color="auto"/>
        <w:left w:val="none" w:sz="0" w:space="0" w:color="auto"/>
        <w:bottom w:val="none" w:sz="0" w:space="0" w:color="auto"/>
        <w:right w:val="none" w:sz="0" w:space="0" w:color="auto"/>
      </w:divBdr>
    </w:div>
    <w:div w:id="1368989638">
      <w:bodyDiv w:val="1"/>
      <w:marLeft w:val="0"/>
      <w:marRight w:val="0"/>
      <w:marTop w:val="0"/>
      <w:marBottom w:val="0"/>
      <w:divBdr>
        <w:top w:val="none" w:sz="0" w:space="0" w:color="auto"/>
        <w:left w:val="none" w:sz="0" w:space="0" w:color="auto"/>
        <w:bottom w:val="none" w:sz="0" w:space="0" w:color="auto"/>
        <w:right w:val="none" w:sz="0" w:space="0" w:color="auto"/>
      </w:divBdr>
      <w:divsChild>
        <w:div w:id="916789248">
          <w:marLeft w:val="0"/>
          <w:marRight w:val="0"/>
          <w:marTop w:val="0"/>
          <w:marBottom w:val="0"/>
          <w:divBdr>
            <w:top w:val="none" w:sz="0" w:space="0" w:color="auto"/>
            <w:left w:val="none" w:sz="0" w:space="0" w:color="auto"/>
            <w:bottom w:val="none" w:sz="0" w:space="0" w:color="auto"/>
            <w:right w:val="none" w:sz="0" w:space="0" w:color="auto"/>
          </w:divBdr>
          <w:divsChild>
            <w:div w:id="890314312">
              <w:marLeft w:val="0"/>
              <w:marRight w:val="0"/>
              <w:marTop w:val="0"/>
              <w:marBottom w:val="0"/>
              <w:divBdr>
                <w:top w:val="none" w:sz="0" w:space="0" w:color="auto"/>
                <w:left w:val="none" w:sz="0" w:space="0" w:color="auto"/>
                <w:bottom w:val="none" w:sz="0" w:space="0" w:color="auto"/>
                <w:right w:val="none" w:sz="0" w:space="0" w:color="auto"/>
              </w:divBdr>
              <w:divsChild>
                <w:div w:id="565453344">
                  <w:marLeft w:val="0"/>
                  <w:marRight w:val="0"/>
                  <w:marTop w:val="0"/>
                  <w:marBottom w:val="0"/>
                  <w:divBdr>
                    <w:top w:val="none" w:sz="0" w:space="0" w:color="auto"/>
                    <w:left w:val="none" w:sz="0" w:space="0" w:color="auto"/>
                    <w:bottom w:val="none" w:sz="0" w:space="0" w:color="auto"/>
                    <w:right w:val="none" w:sz="0" w:space="0" w:color="auto"/>
                  </w:divBdr>
                  <w:divsChild>
                    <w:div w:id="1518807157">
                      <w:marLeft w:val="150"/>
                      <w:marRight w:val="225"/>
                      <w:marTop w:val="225"/>
                      <w:marBottom w:val="0"/>
                      <w:divBdr>
                        <w:top w:val="none" w:sz="0" w:space="0" w:color="auto"/>
                        <w:left w:val="none" w:sz="0" w:space="0" w:color="auto"/>
                        <w:bottom w:val="none" w:sz="0" w:space="0" w:color="auto"/>
                        <w:right w:val="none" w:sz="0" w:space="0" w:color="auto"/>
                      </w:divBdr>
                      <w:divsChild>
                        <w:div w:id="688407452">
                          <w:marLeft w:val="0"/>
                          <w:marRight w:val="0"/>
                          <w:marTop w:val="0"/>
                          <w:marBottom w:val="225"/>
                          <w:divBdr>
                            <w:top w:val="none" w:sz="0" w:space="0" w:color="auto"/>
                            <w:left w:val="none" w:sz="0" w:space="0" w:color="auto"/>
                            <w:bottom w:val="none" w:sz="0" w:space="0" w:color="auto"/>
                            <w:right w:val="none" w:sz="0" w:space="0" w:color="auto"/>
                          </w:divBdr>
                          <w:divsChild>
                            <w:div w:id="1269004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1441">
      <w:bodyDiv w:val="1"/>
      <w:marLeft w:val="0"/>
      <w:marRight w:val="0"/>
      <w:marTop w:val="0"/>
      <w:marBottom w:val="0"/>
      <w:divBdr>
        <w:top w:val="none" w:sz="0" w:space="0" w:color="auto"/>
        <w:left w:val="none" w:sz="0" w:space="0" w:color="auto"/>
        <w:bottom w:val="none" w:sz="0" w:space="0" w:color="auto"/>
        <w:right w:val="none" w:sz="0" w:space="0" w:color="auto"/>
      </w:divBdr>
    </w:div>
    <w:div w:id="1397125497">
      <w:bodyDiv w:val="1"/>
      <w:marLeft w:val="0"/>
      <w:marRight w:val="0"/>
      <w:marTop w:val="0"/>
      <w:marBottom w:val="0"/>
      <w:divBdr>
        <w:top w:val="none" w:sz="0" w:space="0" w:color="auto"/>
        <w:left w:val="none" w:sz="0" w:space="0" w:color="auto"/>
        <w:bottom w:val="none" w:sz="0" w:space="0" w:color="auto"/>
        <w:right w:val="none" w:sz="0" w:space="0" w:color="auto"/>
      </w:divBdr>
    </w:div>
    <w:div w:id="1402747893">
      <w:bodyDiv w:val="1"/>
      <w:marLeft w:val="0"/>
      <w:marRight w:val="0"/>
      <w:marTop w:val="0"/>
      <w:marBottom w:val="0"/>
      <w:divBdr>
        <w:top w:val="none" w:sz="0" w:space="0" w:color="auto"/>
        <w:left w:val="none" w:sz="0" w:space="0" w:color="auto"/>
        <w:bottom w:val="none" w:sz="0" w:space="0" w:color="auto"/>
        <w:right w:val="none" w:sz="0" w:space="0" w:color="auto"/>
      </w:divBdr>
    </w:div>
    <w:div w:id="1445536823">
      <w:bodyDiv w:val="1"/>
      <w:marLeft w:val="0"/>
      <w:marRight w:val="0"/>
      <w:marTop w:val="0"/>
      <w:marBottom w:val="0"/>
      <w:divBdr>
        <w:top w:val="none" w:sz="0" w:space="0" w:color="auto"/>
        <w:left w:val="none" w:sz="0" w:space="0" w:color="auto"/>
        <w:bottom w:val="none" w:sz="0" w:space="0" w:color="auto"/>
        <w:right w:val="none" w:sz="0" w:space="0" w:color="auto"/>
      </w:divBdr>
    </w:div>
    <w:div w:id="1466002299">
      <w:bodyDiv w:val="1"/>
      <w:marLeft w:val="0"/>
      <w:marRight w:val="0"/>
      <w:marTop w:val="0"/>
      <w:marBottom w:val="0"/>
      <w:divBdr>
        <w:top w:val="none" w:sz="0" w:space="0" w:color="auto"/>
        <w:left w:val="none" w:sz="0" w:space="0" w:color="auto"/>
        <w:bottom w:val="none" w:sz="0" w:space="0" w:color="auto"/>
        <w:right w:val="none" w:sz="0" w:space="0" w:color="auto"/>
      </w:divBdr>
      <w:divsChild>
        <w:div w:id="1361734768">
          <w:marLeft w:val="0"/>
          <w:marRight w:val="0"/>
          <w:marTop w:val="0"/>
          <w:marBottom w:val="0"/>
          <w:divBdr>
            <w:top w:val="none" w:sz="0" w:space="0" w:color="auto"/>
            <w:left w:val="none" w:sz="0" w:space="0" w:color="auto"/>
            <w:bottom w:val="none" w:sz="0" w:space="0" w:color="auto"/>
            <w:right w:val="none" w:sz="0" w:space="0" w:color="auto"/>
          </w:divBdr>
          <w:divsChild>
            <w:div w:id="944729398">
              <w:marLeft w:val="0"/>
              <w:marRight w:val="0"/>
              <w:marTop w:val="0"/>
              <w:marBottom w:val="0"/>
              <w:divBdr>
                <w:top w:val="none" w:sz="0" w:space="0" w:color="auto"/>
                <w:left w:val="none" w:sz="0" w:space="0" w:color="auto"/>
                <w:bottom w:val="none" w:sz="0" w:space="0" w:color="auto"/>
                <w:right w:val="none" w:sz="0" w:space="0" w:color="auto"/>
              </w:divBdr>
              <w:divsChild>
                <w:div w:id="575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7342">
          <w:marLeft w:val="0"/>
          <w:marRight w:val="0"/>
          <w:marTop w:val="0"/>
          <w:marBottom w:val="0"/>
          <w:divBdr>
            <w:top w:val="none" w:sz="0" w:space="0" w:color="auto"/>
            <w:left w:val="none" w:sz="0" w:space="0" w:color="auto"/>
            <w:bottom w:val="none" w:sz="0" w:space="0" w:color="auto"/>
            <w:right w:val="none" w:sz="0" w:space="0" w:color="auto"/>
          </w:divBdr>
          <w:divsChild>
            <w:div w:id="950353510">
              <w:marLeft w:val="0"/>
              <w:marRight w:val="0"/>
              <w:marTop w:val="0"/>
              <w:marBottom w:val="0"/>
              <w:divBdr>
                <w:top w:val="none" w:sz="0" w:space="0" w:color="auto"/>
                <w:left w:val="none" w:sz="0" w:space="0" w:color="auto"/>
                <w:bottom w:val="none" w:sz="0" w:space="0" w:color="auto"/>
                <w:right w:val="none" w:sz="0" w:space="0" w:color="auto"/>
              </w:divBdr>
              <w:divsChild>
                <w:div w:id="1573195415">
                  <w:marLeft w:val="0"/>
                  <w:marRight w:val="0"/>
                  <w:marTop w:val="0"/>
                  <w:marBottom w:val="0"/>
                  <w:divBdr>
                    <w:top w:val="none" w:sz="0" w:space="0" w:color="auto"/>
                    <w:left w:val="none" w:sz="0" w:space="0" w:color="auto"/>
                    <w:bottom w:val="none" w:sz="0" w:space="0" w:color="auto"/>
                    <w:right w:val="none" w:sz="0" w:space="0" w:color="auto"/>
                  </w:divBdr>
                  <w:divsChild>
                    <w:div w:id="885798074">
                      <w:marLeft w:val="0"/>
                      <w:marRight w:val="0"/>
                      <w:marTop w:val="0"/>
                      <w:marBottom w:val="0"/>
                      <w:divBdr>
                        <w:top w:val="none" w:sz="0" w:space="0" w:color="auto"/>
                        <w:left w:val="none" w:sz="0" w:space="0" w:color="auto"/>
                        <w:bottom w:val="none" w:sz="0" w:space="0" w:color="auto"/>
                        <w:right w:val="none" w:sz="0" w:space="0" w:color="auto"/>
                      </w:divBdr>
                      <w:divsChild>
                        <w:div w:id="537086919">
                          <w:marLeft w:val="0"/>
                          <w:marRight w:val="0"/>
                          <w:marTop w:val="0"/>
                          <w:marBottom w:val="0"/>
                          <w:divBdr>
                            <w:top w:val="none" w:sz="0" w:space="0" w:color="auto"/>
                            <w:left w:val="none" w:sz="0" w:space="0" w:color="auto"/>
                            <w:bottom w:val="none" w:sz="0" w:space="0" w:color="auto"/>
                            <w:right w:val="none" w:sz="0" w:space="0" w:color="auto"/>
                          </w:divBdr>
                        </w:div>
                        <w:div w:id="11206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42662">
      <w:bodyDiv w:val="1"/>
      <w:marLeft w:val="0"/>
      <w:marRight w:val="0"/>
      <w:marTop w:val="0"/>
      <w:marBottom w:val="0"/>
      <w:divBdr>
        <w:top w:val="none" w:sz="0" w:space="0" w:color="auto"/>
        <w:left w:val="none" w:sz="0" w:space="0" w:color="auto"/>
        <w:bottom w:val="none" w:sz="0" w:space="0" w:color="auto"/>
        <w:right w:val="none" w:sz="0" w:space="0" w:color="auto"/>
      </w:divBdr>
      <w:divsChild>
        <w:div w:id="63794760">
          <w:marLeft w:val="0"/>
          <w:marRight w:val="0"/>
          <w:marTop w:val="0"/>
          <w:marBottom w:val="0"/>
          <w:divBdr>
            <w:top w:val="none" w:sz="0" w:space="0" w:color="auto"/>
            <w:left w:val="none" w:sz="0" w:space="0" w:color="auto"/>
            <w:bottom w:val="none" w:sz="0" w:space="0" w:color="auto"/>
            <w:right w:val="none" w:sz="0" w:space="0" w:color="auto"/>
          </w:divBdr>
          <w:divsChild>
            <w:div w:id="430667214">
              <w:marLeft w:val="0"/>
              <w:marRight w:val="0"/>
              <w:marTop w:val="0"/>
              <w:marBottom w:val="0"/>
              <w:divBdr>
                <w:top w:val="none" w:sz="0" w:space="0" w:color="auto"/>
                <w:left w:val="none" w:sz="0" w:space="0" w:color="auto"/>
                <w:bottom w:val="none" w:sz="0" w:space="0" w:color="auto"/>
                <w:right w:val="none" w:sz="0" w:space="0" w:color="auto"/>
              </w:divBdr>
              <w:divsChild>
                <w:div w:id="1609584976">
                  <w:marLeft w:val="0"/>
                  <w:marRight w:val="0"/>
                  <w:marTop w:val="0"/>
                  <w:marBottom w:val="0"/>
                  <w:divBdr>
                    <w:top w:val="none" w:sz="0" w:space="0" w:color="auto"/>
                    <w:left w:val="none" w:sz="0" w:space="0" w:color="auto"/>
                    <w:bottom w:val="none" w:sz="0" w:space="0" w:color="auto"/>
                    <w:right w:val="none" w:sz="0" w:space="0" w:color="auto"/>
                  </w:divBdr>
                  <w:divsChild>
                    <w:div w:id="1971862795">
                      <w:marLeft w:val="0"/>
                      <w:marRight w:val="0"/>
                      <w:marTop w:val="0"/>
                      <w:marBottom w:val="0"/>
                      <w:divBdr>
                        <w:top w:val="none" w:sz="0" w:space="0" w:color="auto"/>
                        <w:left w:val="none" w:sz="0" w:space="0" w:color="auto"/>
                        <w:bottom w:val="none" w:sz="0" w:space="0" w:color="auto"/>
                        <w:right w:val="none" w:sz="0" w:space="0" w:color="auto"/>
                      </w:divBdr>
                      <w:divsChild>
                        <w:div w:id="1426880433">
                          <w:marLeft w:val="0"/>
                          <w:marRight w:val="0"/>
                          <w:marTop w:val="0"/>
                          <w:marBottom w:val="0"/>
                          <w:divBdr>
                            <w:top w:val="none" w:sz="0" w:space="0" w:color="auto"/>
                            <w:left w:val="none" w:sz="0" w:space="0" w:color="auto"/>
                            <w:bottom w:val="none" w:sz="0" w:space="0" w:color="auto"/>
                            <w:right w:val="none" w:sz="0" w:space="0" w:color="auto"/>
                          </w:divBdr>
                          <w:divsChild>
                            <w:div w:id="953946976">
                              <w:marLeft w:val="0"/>
                              <w:marRight w:val="0"/>
                              <w:marTop w:val="0"/>
                              <w:marBottom w:val="0"/>
                              <w:divBdr>
                                <w:top w:val="none" w:sz="0" w:space="0" w:color="auto"/>
                                <w:left w:val="none" w:sz="0" w:space="0" w:color="auto"/>
                                <w:bottom w:val="none" w:sz="0" w:space="0" w:color="auto"/>
                                <w:right w:val="none" w:sz="0" w:space="0" w:color="auto"/>
                              </w:divBdr>
                              <w:divsChild>
                                <w:div w:id="1411535782">
                                  <w:marLeft w:val="0"/>
                                  <w:marRight w:val="0"/>
                                  <w:marTop w:val="0"/>
                                  <w:marBottom w:val="0"/>
                                  <w:divBdr>
                                    <w:top w:val="none" w:sz="0" w:space="0" w:color="auto"/>
                                    <w:left w:val="none" w:sz="0" w:space="0" w:color="auto"/>
                                    <w:bottom w:val="none" w:sz="0" w:space="0" w:color="auto"/>
                                    <w:right w:val="none" w:sz="0" w:space="0" w:color="auto"/>
                                  </w:divBdr>
                                  <w:divsChild>
                                    <w:div w:id="2134130181">
                                      <w:marLeft w:val="0"/>
                                      <w:marRight w:val="0"/>
                                      <w:marTop w:val="0"/>
                                      <w:marBottom w:val="0"/>
                                      <w:divBdr>
                                        <w:top w:val="none" w:sz="0" w:space="0" w:color="auto"/>
                                        <w:left w:val="none" w:sz="0" w:space="0" w:color="auto"/>
                                        <w:bottom w:val="none" w:sz="0" w:space="0" w:color="auto"/>
                                        <w:right w:val="none" w:sz="0" w:space="0" w:color="auto"/>
                                      </w:divBdr>
                                      <w:divsChild>
                                        <w:div w:id="1203902002">
                                          <w:marLeft w:val="0"/>
                                          <w:marRight w:val="0"/>
                                          <w:marTop w:val="0"/>
                                          <w:marBottom w:val="0"/>
                                          <w:divBdr>
                                            <w:top w:val="none" w:sz="0" w:space="0" w:color="auto"/>
                                            <w:left w:val="none" w:sz="0" w:space="0" w:color="auto"/>
                                            <w:bottom w:val="none" w:sz="0" w:space="0" w:color="auto"/>
                                            <w:right w:val="none" w:sz="0" w:space="0" w:color="auto"/>
                                          </w:divBdr>
                                          <w:divsChild>
                                            <w:div w:id="591014056">
                                              <w:marLeft w:val="0"/>
                                              <w:marRight w:val="0"/>
                                              <w:marTop w:val="0"/>
                                              <w:marBottom w:val="0"/>
                                              <w:divBdr>
                                                <w:top w:val="none" w:sz="0" w:space="0" w:color="auto"/>
                                                <w:left w:val="none" w:sz="0" w:space="0" w:color="auto"/>
                                                <w:bottom w:val="none" w:sz="0" w:space="0" w:color="auto"/>
                                                <w:right w:val="none" w:sz="0" w:space="0" w:color="auto"/>
                                              </w:divBdr>
                                              <w:divsChild>
                                                <w:div w:id="1887179501">
                                                  <w:marLeft w:val="0"/>
                                                  <w:marRight w:val="0"/>
                                                  <w:marTop w:val="0"/>
                                                  <w:marBottom w:val="0"/>
                                                  <w:divBdr>
                                                    <w:top w:val="none" w:sz="0" w:space="0" w:color="auto"/>
                                                    <w:left w:val="none" w:sz="0" w:space="0" w:color="auto"/>
                                                    <w:bottom w:val="none" w:sz="0" w:space="0" w:color="auto"/>
                                                    <w:right w:val="none" w:sz="0" w:space="0" w:color="auto"/>
                                                  </w:divBdr>
                                                  <w:divsChild>
                                                    <w:div w:id="656230965">
                                                      <w:marLeft w:val="0"/>
                                                      <w:marRight w:val="0"/>
                                                      <w:marTop w:val="0"/>
                                                      <w:marBottom w:val="300"/>
                                                      <w:divBdr>
                                                        <w:top w:val="none" w:sz="0" w:space="0" w:color="auto"/>
                                                        <w:left w:val="none" w:sz="0" w:space="0" w:color="auto"/>
                                                        <w:bottom w:val="none" w:sz="0" w:space="0" w:color="auto"/>
                                                        <w:right w:val="none" w:sz="0" w:space="0" w:color="auto"/>
                                                      </w:divBdr>
                                                      <w:divsChild>
                                                        <w:div w:id="71005130">
                                                          <w:marLeft w:val="0"/>
                                                          <w:marRight w:val="0"/>
                                                          <w:marTop w:val="0"/>
                                                          <w:marBottom w:val="0"/>
                                                          <w:divBdr>
                                                            <w:top w:val="none" w:sz="0" w:space="0" w:color="auto"/>
                                                            <w:left w:val="none" w:sz="0" w:space="0" w:color="auto"/>
                                                            <w:bottom w:val="none" w:sz="0" w:space="0" w:color="auto"/>
                                                            <w:right w:val="none" w:sz="0" w:space="0" w:color="auto"/>
                                                          </w:divBdr>
                                                          <w:divsChild>
                                                            <w:div w:id="1596667174">
                                                              <w:marLeft w:val="0"/>
                                                              <w:marRight w:val="0"/>
                                                              <w:marTop w:val="0"/>
                                                              <w:marBottom w:val="0"/>
                                                              <w:divBdr>
                                                                <w:top w:val="none" w:sz="0" w:space="0" w:color="auto"/>
                                                                <w:left w:val="none" w:sz="0" w:space="0" w:color="auto"/>
                                                                <w:bottom w:val="none" w:sz="0" w:space="0" w:color="auto"/>
                                                                <w:right w:val="none" w:sz="0" w:space="0" w:color="auto"/>
                                                              </w:divBdr>
                                                              <w:divsChild>
                                                                <w:div w:id="2105371685">
                                                                  <w:marLeft w:val="0"/>
                                                                  <w:marRight w:val="0"/>
                                                                  <w:marTop w:val="0"/>
                                                                  <w:marBottom w:val="0"/>
                                                                  <w:divBdr>
                                                                    <w:top w:val="none" w:sz="0" w:space="0" w:color="auto"/>
                                                                    <w:left w:val="none" w:sz="0" w:space="0" w:color="auto"/>
                                                                    <w:bottom w:val="none" w:sz="0" w:space="0" w:color="auto"/>
                                                                    <w:right w:val="none" w:sz="0" w:space="0" w:color="auto"/>
                                                                  </w:divBdr>
                                                                  <w:divsChild>
                                                                    <w:div w:id="512570492">
                                                                      <w:marLeft w:val="0"/>
                                                                      <w:marRight w:val="0"/>
                                                                      <w:marTop w:val="0"/>
                                                                      <w:marBottom w:val="0"/>
                                                                      <w:divBdr>
                                                                        <w:top w:val="none" w:sz="0" w:space="0" w:color="auto"/>
                                                                        <w:left w:val="none" w:sz="0" w:space="0" w:color="auto"/>
                                                                        <w:bottom w:val="none" w:sz="0" w:space="0" w:color="auto"/>
                                                                        <w:right w:val="none" w:sz="0" w:space="0" w:color="auto"/>
                                                                      </w:divBdr>
                                                                      <w:divsChild>
                                                                        <w:div w:id="2055152660">
                                                                          <w:marLeft w:val="0"/>
                                                                          <w:marRight w:val="0"/>
                                                                          <w:marTop w:val="0"/>
                                                                          <w:marBottom w:val="0"/>
                                                                          <w:divBdr>
                                                                            <w:top w:val="none" w:sz="0" w:space="0" w:color="auto"/>
                                                                            <w:left w:val="none" w:sz="0" w:space="0" w:color="auto"/>
                                                                            <w:bottom w:val="none" w:sz="0" w:space="0" w:color="auto"/>
                                                                            <w:right w:val="none" w:sz="0" w:space="0" w:color="auto"/>
                                                                          </w:divBdr>
                                                                          <w:divsChild>
                                                                            <w:div w:id="1579828195">
                                                                              <w:marLeft w:val="0"/>
                                                                              <w:marRight w:val="0"/>
                                                                              <w:marTop w:val="0"/>
                                                                              <w:marBottom w:val="0"/>
                                                                              <w:divBdr>
                                                                                <w:top w:val="none" w:sz="0" w:space="0" w:color="auto"/>
                                                                                <w:left w:val="none" w:sz="0" w:space="0" w:color="auto"/>
                                                                                <w:bottom w:val="none" w:sz="0" w:space="0" w:color="auto"/>
                                                                                <w:right w:val="none" w:sz="0" w:space="0" w:color="auto"/>
                                                                              </w:divBdr>
                                                                              <w:divsChild>
                                                                                <w:div w:id="1702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95114">
      <w:bodyDiv w:val="1"/>
      <w:marLeft w:val="0"/>
      <w:marRight w:val="0"/>
      <w:marTop w:val="0"/>
      <w:marBottom w:val="0"/>
      <w:divBdr>
        <w:top w:val="none" w:sz="0" w:space="0" w:color="auto"/>
        <w:left w:val="none" w:sz="0" w:space="0" w:color="auto"/>
        <w:bottom w:val="none" w:sz="0" w:space="0" w:color="auto"/>
        <w:right w:val="none" w:sz="0" w:space="0" w:color="auto"/>
      </w:divBdr>
      <w:divsChild>
        <w:div w:id="377441551">
          <w:marLeft w:val="0"/>
          <w:marRight w:val="0"/>
          <w:marTop w:val="0"/>
          <w:marBottom w:val="0"/>
          <w:divBdr>
            <w:top w:val="none" w:sz="0" w:space="0" w:color="auto"/>
            <w:left w:val="none" w:sz="0" w:space="0" w:color="auto"/>
            <w:bottom w:val="none" w:sz="0" w:space="0" w:color="auto"/>
            <w:right w:val="none" w:sz="0" w:space="0" w:color="auto"/>
          </w:divBdr>
          <w:divsChild>
            <w:div w:id="1805582416">
              <w:marLeft w:val="0"/>
              <w:marRight w:val="0"/>
              <w:marTop w:val="0"/>
              <w:marBottom w:val="0"/>
              <w:divBdr>
                <w:top w:val="none" w:sz="0" w:space="0" w:color="auto"/>
                <w:left w:val="none" w:sz="0" w:space="0" w:color="auto"/>
                <w:bottom w:val="none" w:sz="0" w:space="0" w:color="auto"/>
                <w:right w:val="none" w:sz="0" w:space="0" w:color="auto"/>
              </w:divBdr>
              <w:divsChild>
                <w:div w:id="1982223482">
                  <w:marLeft w:val="0"/>
                  <w:marRight w:val="0"/>
                  <w:marTop w:val="0"/>
                  <w:marBottom w:val="0"/>
                  <w:divBdr>
                    <w:top w:val="none" w:sz="0" w:space="0" w:color="auto"/>
                    <w:left w:val="none" w:sz="0" w:space="0" w:color="auto"/>
                    <w:bottom w:val="none" w:sz="0" w:space="0" w:color="auto"/>
                    <w:right w:val="none" w:sz="0" w:space="0" w:color="auto"/>
                  </w:divBdr>
                  <w:divsChild>
                    <w:div w:id="610478423">
                      <w:marLeft w:val="0"/>
                      <w:marRight w:val="0"/>
                      <w:marTop w:val="0"/>
                      <w:marBottom w:val="210"/>
                      <w:divBdr>
                        <w:top w:val="none" w:sz="0" w:space="0" w:color="auto"/>
                        <w:left w:val="none" w:sz="0" w:space="0" w:color="auto"/>
                        <w:bottom w:val="none" w:sz="0" w:space="0" w:color="auto"/>
                        <w:right w:val="none" w:sz="0" w:space="0" w:color="auto"/>
                      </w:divBdr>
                      <w:divsChild>
                        <w:div w:id="853693527">
                          <w:marLeft w:val="0"/>
                          <w:marRight w:val="0"/>
                          <w:marTop w:val="0"/>
                          <w:marBottom w:val="0"/>
                          <w:divBdr>
                            <w:top w:val="none" w:sz="0" w:space="0" w:color="auto"/>
                            <w:left w:val="none" w:sz="0" w:space="0" w:color="auto"/>
                            <w:bottom w:val="none" w:sz="0" w:space="0" w:color="auto"/>
                            <w:right w:val="none" w:sz="0" w:space="0" w:color="auto"/>
                          </w:divBdr>
                          <w:divsChild>
                            <w:div w:id="645474742">
                              <w:marLeft w:val="0"/>
                              <w:marRight w:val="0"/>
                              <w:marTop w:val="0"/>
                              <w:marBottom w:val="360"/>
                              <w:divBdr>
                                <w:top w:val="none" w:sz="0" w:space="0" w:color="auto"/>
                                <w:left w:val="none" w:sz="0" w:space="0" w:color="auto"/>
                                <w:bottom w:val="none" w:sz="0" w:space="0" w:color="auto"/>
                                <w:right w:val="none" w:sz="0" w:space="0" w:color="auto"/>
                              </w:divBdr>
                              <w:divsChild>
                                <w:div w:id="1916276645">
                                  <w:marLeft w:val="0"/>
                                  <w:marRight w:val="0"/>
                                  <w:marTop w:val="0"/>
                                  <w:marBottom w:val="0"/>
                                  <w:divBdr>
                                    <w:top w:val="single" w:sz="6" w:space="11" w:color="D2D2D2"/>
                                    <w:left w:val="single" w:sz="6" w:space="11" w:color="D2D2D2"/>
                                    <w:bottom w:val="single" w:sz="6" w:space="11" w:color="D2D2D2"/>
                                    <w:right w:val="single" w:sz="6" w:space="11" w:color="D2D2D2"/>
                                  </w:divBdr>
                                </w:div>
                              </w:divsChild>
                            </w:div>
                          </w:divsChild>
                        </w:div>
                        <w:div w:id="2059475646">
                          <w:marLeft w:val="0"/>
                          <w:marRight w:val="0"/>
                          <w:marTop w:val="0"/>
                          <w:marBottom w:val="0"/>
                          <w:divBdr>
                            <w:top w:val="none" w:sz="0" w:space="0" w:color="auto"/>
                            <w:left w:val="none" w:sz="0" w:space="0" w:color="auto"/>
                            <w:bottom w:val="none" w:sz="0" w:space="0" w:color="auto"/>
                            <w:right w:val="none" w:sz="0" w:space="0" w:color="auto"/>
                          </w:divBdr>
                          <w:divsChild>
                            <w:div w:id="1430813681">
                              <w:marLeft w:val="0"/>
                              <w:marRight w:val="0"/>
                              <w:marTop w:val="0"/>
                              <w:marBottom w:val="210"/>
                              <w:divBdr>
                                <w:top w:val="none" w:sz="0" w:space="0" w:color="auto"/>
                                <w:left w:val="none" w:sz="0" w:space="0" w:color="auto"/>
                                <w:bottom w:val="single" w:sz="6" w:space="5" w:color="DADADA"/>
                                <w:right w:val="none" w:sz="0" w:space="0" w:color="auto"/>
                              </w:divBdr>
                            </w:div>
                          </w:divsChild>
                        </w:div>
                      </w:divsChild>
                    </w:div>
                  </w:divsChild>
                </w:div>
              </w:divsChild>
            </w:div>
          </w:divsChild>
        </w:div>
      </w:divsChild>
    </w:div>
    <w:div w:id="1599097057">
      <w:bodyDiv w:val="1"/>
      <w:marLeft w:val="0"/>
      <w:marRight w:val="0"/>
      <w:marTop w:val="0"/>
      <w:marBottom w:val="0"/>
      <w:divBdr>
        <w:top w:val="none" w:sz="0" w:space="0" w:color="auto"/>
        <w:left w:val="none" w:sz="0" w:space="0" w:color="auto"/>
        <w:bottom w:val="none" w:sz="0" w:space="0" w:color="auto"/>
        <w:right w:val="none" w:sz="0" w:space="0" w:color="auto"/>
      </w:divBdr>
    </w:div>
    <w:div w:id="1632051589">
      <w:bodyDiv w:val="1"/>
      <w:marLeft w:val="0"/>
      <w:marRight w:val="0"/>
      <w:marTop w:val="0"/>
      <w:marBottom w:val="0"/>
      <w:divBdr>
        <w:top w:val="none" w:sz="0" w:space="0" w:color="auto"/>
        <w:left w:val="none" w:sz="0" w:space="0" w:color="auto"/>
        <w:bottom w:val="none" w:sz="0" w:space="0" w:color="auto"/>
        <w:right w:val="none" w:sz="0" w:space="0" w:color="auto"/>
      </w:divBdr>
    </w:div>
    <w:div w:id="1635791753">
      <w:bodyDiv w:val="1"/>
      <w:marLeft w:val="0"/>
      <w:marRight w:val="0"/>
      <w:marTop w:val="0"/>
      <w:marBottom w:val="0"/>
      <w:divBdr>
        <w:top w:val="none" w:sz="0" w:space="0" w:color="auto"/>
        <w:left w:val="none" w:sz="0" w:space="0" w:color="auto"/>
        <w:bottom w:val="none" w:sz="0" w:space="0" w:color="auto"/>
        <w:right w:val="none" w:sz="0" w:space="0" w:color="auto"/>
      </w:divBdr>
    </w:div>
    <w:div w:id="1636833063">
      <w:bodyDiv w:val="1"/>
      <w:marLeft w:val="0"/>
      <w:marRight w:val="0"/>
      <w:marTop w:val="0"/>
      <w:marBottom w:val="0"/>
      <w:divBdr>
        <w:top w:val="none" w:sz="0" w:space="0" w:color="auto"/>
        <w:left w:val="none" w:sz="0" w:space="0" w:color="auto"/>
        <w:bottom w:val="none" w:sz="0" w:space="0" w:color="auto"/>
        <w:right w:val="none" w:sz="0" w:space="0" w:color="auto"/>
      </w:divBdr>
    </w:div>
    <w:div w:id="1731612831">
      <w:bodyDiv w:val="1"/>
      <w:marLeft w:val="0"/>
      <w:marRight w:val="0"/>
      <w:marTop w:val="0"/>
      <w:marBottom w:val="0"/>
      <w:divBdr>
        <w:top w:val="none" w:sz="0" w:space="0" w:color="auto"/>
        <w:left w:val="none" w:sz="0" w:space="0" w:color="auto"/>
        <w:bottom w:val="none" w:sz="0" w:space="0" w:color="auto"/>
        <w:right w:val="none" w:sz="0" w:space="0" w:color="auto"/>
      </w:divBdr>
      <w:divsChild>
        <w:div w:id="1373535260">
          <w:marLeft w:val="0"/>
          <w:marRight w:val="0"/>
          <w:marTop w:val="0"/>
          <w:marBottom w:val="0"/>
          <w:divBdr>
            <w:top w:val="none" w:sz="0" w:space="0" w:color="auto"/>
            <w:left w:val="none" w:sz="0" w:space="0" w:color="auto"/>
            <w:bottom w:val="none" w:sz="0" w:space="0" w:color="auto"/>
            <w:right w:val="none" w:sz="0" w:space="0" w:color="auto"/>
          </w:divBdr>
          <w:divsChild>
            <w:div w:id="965430223">
              <w:marLeft w:val="0"/>
              <w:marRight w:val="0"/>
              <w:marTop w:val="0"/>
              <w:marBottom w:val="0"/>
              <w:divBdr>
                <w:top w:val="none" w:sz="0" w:space="0" w:color="auto"/>
                <w:left w:val="none" w:sz="0" w:space="0" w:color="auto"/>
                <w:bottom w:val="none" w:sz="0" w:space="0" w:color="auto"/>
                <w:right w:val="none" w:sz="0" w:space="0" w:color="auto"/>
              </w:divBdr>
              <w:divsChild>
                <w:div w:id="1055590502">
                  <w:marLeft w:val="0"/>
                  <w:marRight w:val="0"/>
                  <w:marTop w:val="0"/>
                  <w:marBottom w:val="0"/>
                  <w:divBdr>
                    <w:top w:val="none" w:sz="0" w:space="0" w:color="auto"/>
                    <w:left w:val="none" w:sz="0" w:space="0" w:color="auto"/>
                    <w:bottom w:val="none" w:sz="0" w:space="0" w:color="auto"/>
                    <w:right w:val="none" w:sz="0" w:space="0" w:color="auto"/>
                  </w:divBdr>
                  <w:divsChild>
                    <w:div w:id="98379550">
                      <w:marLeft w:val="0"/>
                      <w:marRight w:val="0"/>
                      <w:marTop w:val="0"/>
                      <w:marBottom w:val="0"/>
                      <w:divBdr>
                        <w:top w:val="none" w:sz="0" w:space="0" w:color="auto"/>
                        <w:left w:val="none" w:sz="0" w:space="0" w:color="auto"/>
                        <w:bottom w:val="none" w:sz="0" w:space="0" w:color="auto"/>
                        <w:right w:val="none" w:sz="0" w:space="0" w:color="auto"/>
                      </w:divBdr>
                      <w:divsChild>
                        <w:div w:id="1204636023">
                          <w:marLeft w:val="0"/>
                          <w:marRight w:val="0"/>
                          <w:marTop w:val="0"/>
                          <w:marBottom w:val="0"/>
                          <w:divBdr>
                            <w:top w:val="none" w:sz="0" w:space="0" w:color="auto"/>
                            <w:left w:val="none" w:sz="0" w:space="0" w:color="auto"/>
                            <w:bottom w:val="none" w:sz="0" w:space="0" w:color="auto"/>
                            <w:right w:val="none" w:sz="0" w:space="0" w:color="auto"/>
                          </w:divBdr>
                          <w:divsChild>
                            <w:div w:id="185870270">
                              <w:marLeft w:val="0"/>
                              <w:marRight w:val="0"/>
                              <w:marTop w:val="0"/>
                              <w:marBottom w:val="0"/>
                              <w:divBdr>
                                <w:top w:val="none" w:sz="0" w:space="0" w:color="auto"/>
                                <w:left w:val="none" w:sz="0" w:space="0" w:color="auto"/>
                                <w:bottom w:val="none" w:sz="0" w:space="0" w:color="auto"/>
                                <w:right w:val="none" w:sz="0" w:space="0" w:color="auto"/>
                              </w:divBdr>
                              <w:divsChild>
                                <w:div w:id="1480413754">
                                  <w:marLeft w:val="0"/>
                                  <w:marRight w:val="0"/>
                                  <w:marTop w:val="0"/>
                                  <w:marBottom w:val="0"/>
                                  <w:divBdr>
                                    <w:top w:val="none" w:sz="0" w:space="0" w:color="auto"/>
                                    <w:left w:val="none" w:sz="0" w:space="0" w:color="auto"/>
                                    <w:bottom w:val="none" w:sz="0" w:space="0" w:color="auto"/>
                                    <w:right w:val="none" w:sz="0" w:space="0" w:color="auto"/>
                                  </w:divBdr>
                                  <w:divsChild>
                                    <w:div w:id="1083800003">
                                      <w:marLeft w:val="0"/>
                                      <w:marRight w:val="0"/>
                                      <w:marTop w:val="0"/>
                                      <w:marBottom w:val="0"/>
                                      <w:divBdr>
                                        <w:top w:val="none" w:sz="0" w:space="0" w:color="auto"/>
                                        <w:left w:val="none" w:sz="0" w:space="0" w:color="auto"/>
                                        <w:bottom w:val="none" w:sz="0" w:space="0" w:color="auto"/>
                                        <w:right w:val="none" w:sz="0" w:space="0" w:color="auto"/>
                                      </w:divBdr>
                                      <w:divsChild>
                                        <w:div w:id="1405369550">
                                          <w:marLeft w:val="0"/>
                                          <w:marRight w:val="0"/>
                                          <w:marTop w:val="0"/>
                                          <w:marBottom w:val="0"/>
                                          <w:divBdr>
                                            <w:top w:val="none" w:sz="0" w:space="0" w:color="auto"/>
                                            <w:left w:val="none" w:sz="0" w:space="0" w:color="auto"/>
                                            <w:bottom w:val="none" w:sz="0" w:space="0" w:color="auto"/>
                                            <w:right w:val="none" w:sz="0" w:space="0" w:color="auto"/>
                                          </w:divBdr>
                                          <w:divsChild>
                                            <w:div w:id="111436532">
                                              <w:marLeft w:val="0"/>
                                              <w:marRight w:val="0"/>
                                              <w:marTop w:val="0"/>
                                              <w:marBottom w:val="0"/>
                                              <w:divBdr>
                                                <w:top w:val="none" w:sz="0" w:space="0" w:color="auto"/>
                                                <w:left w:val="none" w:sz="0" w:space="0" w:color="auto"/>
                                                <w:bottom w:val="none" w:sz="0" w:space="0" w:color="auto"/>
                                                <w:right w:val="none" w:sz="0" w:space="0" w:color="auto"/>
                                              </w:divBdr>
                                              <w:divsChild>
                                                <w:div w:id="346907505">
                                                  <w:marLeft w:val="0"/>
                                                  <w:marRight w:val="0"/>
                                                  <w:marTop w:val="0"/>
                                                  <w:marBottom w:val="0"/>
                                                  <w:divBdr>
                                                    <w:top w:val="none" w:sz="0" w:space="0" w:color="auto"/>
                                                    <w:left w:val="none" w:sz="0" w:space="0" w:color="auto"/>
                                                    <w:bottom w:val="none" w:sz="0" w:space="0" w:color="auto"/>
                                                    <w:right w:val="none" w:sz="0" w:space="0" w:color="auto"/>
                                                  </w:divBdr>
                                                  <w:divsChild>
                                                    <w:div w:id="683894995">
                                                      <w:marLeft w:val="0"/>
                                                      <w:marRight w:val="0"/>
                                                      <w:marTop w:val="0"/>
                                                      <w:marBottom w:val="300"/>
                                                      <w:divBdr>
                                                        <w:top w:val="none" w:sz="0" w:space="0" w:color="auto"/>
                                                        <w:left w:val="none" w:sz="0" w:space="0" w:color="auto"/>
                                                        <w:bottom w:val="none" w:sz="0" w:space="0" w:color="auto"/>
                                                        <w:right w:val="none" w:sz="0" w:space="0" w:color="auto"/>
                                                      </w:divBdr>
                                                      <w:divsChild>
                                                        <w:div w:id="183178105">
                                                          <w:marLeft w:val="0"/>
                                                          <w:marRight w:val="0"/>
                                                          <w:marTop w:val="0"/>
                                                          <w:marBottom w:val="0"/>
                                                          <w:divBdr>
                                                            <w:top w:val="none" w:sz="0" w:space="0" w:color="auto"/>
                                                            <w:left w:val="none" w:sz="0" w:space="0" w:color="auto"/>
                                                            <w:bottom w:val="none" w:sz="0" w:space="0" w:color="auto"/>
                                                            <w:right w:val="none" w:sz="0" w:space="0" w:color="auto"/>
                                                          </w:divBdr>
                                                          <w:divsChild>
                                                            <w:div w:id="1671909692">
                                                              <w:marLeft w:val="0"/>
                                                              <w:marRight w:val="0"/>
                                                              <w:marTop w:val="0"/>
                                                              <w:marBottom w:val="0"/>
                                                              <w:divBdr>
                                                                <w:top w:val="none" w:sz="0" w:space="0" w:color="auto"/>
                                                                <w:left w:val="none" w:sz="0" w:space="0" w:color="auto"/>
                                                                <w:bottom w:val="none" w:sz="0" w:space="0" w:color="auto"/>
                                                                <w:right w:val="none" w:sz="0" w:space="0" w:color="auto"/>
                                                              </w:divBdr>
                                                              <w:divsChild>
                                                                <w:div w:id="1833250178">
                                                                  <w:marLeft w:val="0"/>
                                                                  <w:marRight w:val="0"/>
                                                                  <w:marTop w:val="0"/>
                                                                  <w:marBottom w:val="0"/>
                                                                  <w:divBdr>
                                                                    <w:top w:val="none" w:sz="0" w:space="0" w:color="auto"/>
                                                                    <w:left w:val="none" w:sz="0" w:space="0" w:color="auto"/>
                                                                    <w:bottom w:val="none" w:sz="0" w:space="0" w:color="auto"/>
                                                                    <w:right w:val="none" w:sz="0" w:space="0" w:color="auto"/>
                                                                  </w:divBdr>
                                                                  <w:divsChild>
                                                                    <w:div w:id="986788904">
                                                                      <w:marLeft w:val="0"/>
                                                                      <w:marRight w:val="0"/>
                                                                      <w:marTop w:val="0"/>
                                                                      <w:marBottom w:val="0"/>
                                                                      <w:divBdr>
                                                                        <w:top w:val="none" w:sz="0" w:space="0" w:color="auto"/>
                                                                        <w:left w:val="none" w:sz="0" w:space="0" w:color="auto"/>
                                                                        <w:bottom w:val="none" w:sz="0" w:space="0" w:color="auto"/>
                                                                        <w:right w:val="none" w:sz="0" w:space="0" w:color="auto"/>
                                                                      </w:divBdr>
                                                                      <w:divsChild>
                                                                        <w:div w:id="1034499267">
                                                                          <w:marLeft w:val="0"/>
                                                                          <w:marRight w:val="0"/>
                                                                          <w:marTop w:val="0"/>
                                                                          <w:marBottom w:val="0"/>
                                                                          <w:divBdr>
                                                                            <w:top w:val="none" w:sz="0" w:space="0" w:color="auto"/>
                                                                            <w:left w:val="none" w:sz="0" w:space="0" w:color="auto"/>
                                                                            <w:bottom w:val="none" w:sz="0" w:space="0" w:color="auto"/>
                                                                            <w:right w:val="none" w:sz="0" w:space="0" w:color="auto"/>
                                                                          </w:divBdr>
                                                                          <w:divsChild>
                                                                            <w:div w:id="887452728">
                                                                              <w:marLeft w:val="0"/>
                                                                              <w:marRight w:val="0"/>
                                                                              <w:marTop w:val="0"/>
                                                                              <w:marBottom w:val="0"/>
                                                                              <w:divBdr>
                                                                                <w:top w:val="none" w:sz="0" w:space="0" w:color="auto"/>
                                                                                <w:left w:val="none" w:sz="0" w:space="0" w:color="auto"/>
                                                                                <w:bottom w:val="none" w:sz="0" w:space="0" w:color="auto"/>
                                                                                <w:right w:val="none" w:sz="0" w:space="0" w:color="auto"/>
                                                                              </w:divBdr>
                                                                              <w:divsChild>
                                                                                <w:div w:id="146938319">
                                                                                  <w:marLeft w:val="0"/>
                                                                                  <w:marRight w:val="0"/>
                                                                                  <w:marTop w:val="0"/>
                                                                                  <w:marBottom w:val="0"/>
                                                                                  <w:divBdr>
                                                                                    <w:top w:val="none" w:sz="0" w:space="0" w:color="auto"/>
                                                                                    <w:left w:val="none" w:sz="0" w:space="0" w:color="auto"/>
                                                                                    <w:bottom w:val="none" w:sz="0" w:space="0" w:color="auto"/>
                                                                                    <w:right w:val="none" w:sz="0" w:space="0" w:color="auto"/>
                                                                                  </w:divBdr>
                                                                                  <w:divsChild>
                                                                                    <w:div w:id="403143449">
                                                                                      <w:marLeft w:val="0"/>
                                                                                      <w:marRight w:val="0"/>
                                                                                      <w:marTop w:val="0"/>
                                                                                      <w:marBottom w:val="0"/>
                                                                                      <w:divBdr>
                                                                                        <w:top w:val="none" w:sz="0" w:space="0" w:color="auto"/>
                                                                                        <w:left w:val="none" w:sz="0" w:space="0" w:color="auto"/>
                                                                                        <w:bottom w:val="none" w:sz="0" w:space="0" w:color="auto"/>
                                                                                        <w:right w:val="none" w:sz="0" w:space="0" w:color="auto"/>
                                                                                      </w:divBdr>
                                                                                      <w:divsChild>
                                                                                        <w:div w:id="2052457139">
                                                                                          <w:marLeft w:val="0"/>
                                                                                          <w:marRight w:val="0"/>
                                                                                          <w:marTop w:val="0"/>
                                                                                          <w:marBottom w:val="0"/>
                                                                                          <w:divBdr>
                                                                                            <w:top w:val="none" w:sz="0" w:space="0" w:color="auto"/>
                                                                                            <w:left w:val="none" w:sz="0" w:space="0" w:color="auto"/>
                                                                                            <w:bottom w:val="none" w:sz="0" w:space="0" w:color="auto"/>
                                                                                            <w:right w:val="none" w:sz="0" w:space="0" w:color="auto"/>
                                                                                          </w:divBdr>
                                                                                          <w:divsChild>
                                                                                            <w:div w:id="468935692">
                                                                                              <w:marLeft w:val="0"/>
                                                                                              <w:marRight w:val="0"/>
                                                                                              <w:marTop w:val="0"/>
                                                                                              <w:marBottom w:val="0"/>
                                                                                              <w:divBdr>
                                                                                                <w:top w:val="none" w:sz="0" w:space="0" w:color="auto"/>
                                                                                                <w:left w:val="none" w:sz="0" w:space="0" w:color="auto"/>
                                                                                                <w:bottom w:val="none" w:sz="0" w:space="0" w:color="auto"/>
                                                                                                <w:right w:val="none" w:sz="0" w:space="0" w:color="auto"/>
                                                                                              </w:divBdr>
                                                                                            </w:div>
                                                                                            <w:div w:id="1127552859">
                                                                                              <w:marLeft w:val="0"/>
                                                                                              <w:marRight w:val="0"/>
                                                                                              <w:marTop w:val="0"/>
                                                                                              <w:marBottom w:val="0"/>
                                                                                              <w:divBdr>
                                                                                                <w:top w:val="none" w:sz="0" w:space="0" w:color="auto"/>
                                                                                                <w:left w:val="none" w:sz="0" w:space="0" w:color="auto"/>
                                                                                                <w:bottom w:val="none" w:sz="0" w:space="0" w:color="auto"/>
                                                                                                <w:right w:val="none" w:sz="0" w:space="0" w:color="auto"/>
                                                                                              </w:divBdr>
                                                                                            </w:div>
                                                                                            <w:div w:id="1963924475">
                                                                                              <w:marLeft w:val="0"/>
                                                                                              <w:marRight w:val="0"/>
                                                                                              <w:marTop w:val="0"/>
                                                                                              <w:marBottom w:val="0"/>
                                                                                              <w:divBdr>
                                                                                                <w:top w:val="none" w:sz="0" w:space="0" w:color="auto"/>
                                                                                                <w:left w:val="none" w:sz="0" w:space="0" w:color="auto"/>
                                                                                                <w:bottom w:val="none" w:sz="0" w:space="0" w:color="auto"/>
                                                                                                <w:right w:val="none" w:sz="0" w:space="0" w:color="auto"/>
                                                                                              </w:divBdr>
                                                                                              <w:divsChild>
                                                                                                <w:div w:id="21242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5588">
                                                                                      <w:marLeft w:val="0"/>
                                                                                      <w:marRight w:val="0"/>
                                                                                      <w:marTop w:val="0"/>
                                                                                      <w:marBottom w:val="0"/>
                                                                                      <w:divBdr>
                                                                                        <w:top w:val="none" w:sz="0" w:space="0" w:color="auto"/>
                                                                                        <w:left w:val="none" w:sz="0" w:space="0" w:color="auto"/>
                                                                                        <w:bottom w:val="none" w:sz="0" w:space="0" w:color="auto"/>
                                                                                        <w:right w:val="none" w:sz="0" w:space="0" w:color="auto"/>
                                                                                      </w:divBdr>
                                                                                      <w:divsChild>
                                                                                        <w:div w:id="1307051187">
                                                                                          <w:marLeft w:val="0"/>
                                                                                          <w:marRight w:val="0"/>
                                                                                          <w:marTop w:val="0"/>
                                                                                          <w:marBottom w:val="0"/>
                                                                                          <w:divBdr>
                                                                                            <w:top w:val="none" w:sz="0" w:space="0" w:color="auto"/>
                                                                                            <w:left w:val="none" w:sz="0" w:space="0" w:color="auto"/>
                                                                                            <w:bottom w:val="none" w:sz="0" w:space="0" w:color="auto"/>
                                                                                            <w:right w:val="none" w:sz="0" w:space="0" w:color="auto"/>
                                                                                          </w:divBdr>
                                                                                          <w:divsChild>
                                                                                            <w:div w:id="13267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435">
                                                                                  <w:marLeft w:val="0"/>
                                                                                  <w:marRight w:val="0"/>
                                                                                  <w:marTop w:val="0"/>
                                                                                  <w:marBottom w:val="0"/>
                                                                                  <w:divBdr>
                                                                                    <w:top w:val="none" w:sz="0" w:space="0" w:color="auto"/>
                                                                                    <w:left w:val="none" w:sz="0" w:space="0" w:color="auto"/>
                                                                                    <w:bottom w:val="none" w:sz="0" w:space="0" w:color="auto"/>
                                                                                    <w:right w:val="none" w:sz="0" w:space="0" w:color="auto"/>
                                                                                  </w:divBdr>
                                                                                  <w:divsChild>
                                                                                    <w:div w:id="305090174">
                                                                                      <w:marLeft w:val="0"/>
                                                                                      <w:marRight w:val="0"/>
                                                                                      <w:marTop w:val="0"/>
                                                                                      <w:marBottom w:val="0"/>
                                                                                      <w:divBdr>
                                                                                        <w:top w:val="none" w:sz="0" w:space="0" w:color="auto"/>
                                                                                        <w:left w:val="none" w:sz="0" w:space="0" w:color="auto"/>
                                                                                        <w:bottom w:val="none" w:sz="0" w:space="0" w:color="auto"/>
                                                                                        <w:right w:val="none" w:sz="0" w:space="0" w:color="auto"/>
                                                                                      </w:divBdr>
                                                                                      <w:divsChild>
                                                                                        <w:div w:id="1665088056">
                                                                                          <w:marLeft w:val="0"/>
                                                                                          <w:marRight w:val="0"/>
                                                                                          <w:marTop w:val="0"/>
                                                                                          <w:marBottom w:val="0"/>
                                                                                          <w:divBdr>
                                                                                            <w:top w:val="none" w:sz="0" w:space="0" w:color="auto"/>
                                                                                            <w:left w:val="none" w:sz="0" w:space="0" w:color="auto"/>
                                                                                            <w:bottom w:val="none" w:sz="0" w:space="0" w:color="auto"/>
                                                                                            <w:right w:val="none" w:sz="0" w:space="0" w:color="auto"/>
                                                                                          </w:divBdr>
                                                                                          <w:divsChild>
                                                                                            <w:div w:id="1498308951">
                                                                                              <w:marLeft w:val="0"/>
                                                                                              <w:marRight w:val="0"/>
                                                                                              <w:marTop w:val="0"/>
                                                                                              <w:marBottom w:val="0"/>
                                                                                              <w:divBdr>
                                                                                                <w:top w:val="none" w:sz="0" w:space="0" w:color="auto"/>
                                                                                                <w:left w:val="none" w:sz="0" w:space="0" w:color="auto"/>
                                                                                                <w:bottom w:val="none" w:sz="0" w:space="0" w:color="auto"/>
                                                                                                <w:right w:val="none" w:sz="0" w:space="0" w:color="auto"/>
                                                                                              </w:divBdr>
                                                                                              <w:divsChild>
                                                                                                <w:div w:id="3117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3701">
                                                                                      <w:marLeft w:val="0"/>
                                                                                      <w:marRight w:val="0"/>
                                                                                      <w:marTop w:val="0"/>
                                                                                      <w:marBottom w:val="0"/>
                                                                                      <w:divBdr>
                                                                                        <w:top w:val="none" w:sz="0" w:space="0" w:color="auto"/>
                                                                                        <w:left w:val="none" w:sz="0" w:space="0" w:color="auto"/>
                                                                                        <w:bottom w:val="none" w:sz="0" w:space="0" w:color="auto"/>
                                                                                        <w:right w:val="none" w:sz="0" w:space="0" w:color="auto"/>
                                                                                      </w:divBdr>
                                                                                      <w:divsChild>
                                                                                        <w:div w:id="1023894613">
                                                                                          <w:marLeft w:val="0"/>
                                                                                          <w:marRight w:val="0"/>
                                                                                          <w:marTop w:val="0"/>
                                                                                          <w:marBottom w:val="0"/>
                                                                                          <w:divBdr>
                                                                                            <w:top w:val="none" w:sz="0" w:space="0" w:color="auto"/>
                                                                                            <w:left w:val="none" w:sz="0" w:space="0" w:color="auto"/>
                                                                                            <w:bottom w:val="none" w:sz="0" w:space="0" w:color="auto"/>
                                                                                            <w:right w:val="none" w:sz="0" w:space="0" w:color="auto"/>
                                                                                          </w:divBdr>
                                                                                          <w:divsChild>
                                                                                            <w:div w:id="128284268">
                                                                                              <w:marLeft w:val="0"/>
                                                                                              <w:marRight w:val="0"/>
                                                                                              <w:marTop w:val="0"/>
                                                                                              <w:marBottom w:val="0"/>
                                                                                              <w:divBdr>
                                                                                                <w:top w:val="none" w:sz="0" w:space="0" w:color="auto"/>
                                                                                                <w:left w:val="none" w:sz="0" w:space="0" w:color="auto"/>
                                                                                                <w:bottom w:val="none" w:sz="0" w:space="0" w:color="auto"/>
                                                                                                <w:right w:val="none" w:sz="0" w:space="0" w:color="auto"/>
                                                                                              </w:divBdr>
                                                                                              <w:divsChild>
                                                                                                <w:div w:id="8161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004892">
      <w:bodyDiv w:val="1"/>
      <w:marLeft w:val="0"/>
      <w:marRight w:val="0"/>
      <w:marTop w:val="0"/>
      <w:marBottom w:val="0"/>
      <w:divBdr>
        <w:top w:val="none" w:sz="0" w:space="0" w:color="auto"/>
        <w:left w:val="none" w:sz="0" w:space="0" w:color="auto"/>
        <w:bottom w:val="none" w:sz="0" w:space="0" w:color="auto"/>
        <w:right w:val="none" w:sz="0" w:space="0" w:color="auto"/>
      </w:divBdr>
    </w:div>
    <w:div w:id="1735156248">
      <w:bodyDiv w:val="1"/>
      <w:marLeft w:val="0"/>
      <w:marRight w:val="0"/>
      <w:marTop w:val="0"/>
      <w:marBottom w:val="0"/>
      <w:divBdr>
        <w:top w:val="none" w:sz="0" w:space="0" w:color="auto"/>
        <w:left w:val="none" w:sz="0" w:space="0" w:color="auto"/>
        <w:bottom w:val="none" w:sz="0" w:space="0" w:color="auto"/>
        <w:right w:val="none" w:sz="0" w:space="0" w:color="auto"/>
      </w:divBdr>
    </w:div>
    <w:div w:id="1762599810">
      <w:bodyDiv w:val="1"/>
      <w:marLeft w:val="0"/>
      <w:marRight w:val="0"/>
      <w:marTop w:val="0"/>
      <w:marBottom w:val="0"/>
      <w:divBdr>
        <w:top w:val="none" w:sz="0" w:space="0" w:color="auto"/>
        <w:left w:val="none" w:sz="0" w:space="0" w:color="auto"/>
        <w:bottom w:val="none" w:sz="0" w:space="0" w:color="auto"/>
        <w:right w:val="none" w:sz="0" w:space="0" w:color="auto"/>
      </w:divBdr>
    </w:div>
    <w:div w:id="1766656271">
      <w:bodyDiv w:val="1"/>
      <w:marLeft w:val="0"/>
      <w:marRight w:val="0"/>
      <w:marTop w:val="0"/>
      <w:marBottom w:val="0"/>
      <w:divBdr>
        <w:top w:val="none" w:sz="0" w:space="0" w:color="auto"/>
        <w:left w:val="none" w:sz="0" w:space="0" w:color="auto"/>
        <w:bottom w:val="none" w:sz="0" w:space="0" w:color="auto"/>
        <w:right w:val="none" w:sz="0" w:space="0" w:color="auto"/>
      </w:divBdr>
    </w:div>
    <w:div w:id="1781021570">
      <w:bodyDiv w:val="1"/>
      <w:marLeft w:val="0"/>
      <w:marRight w:val="0"/>
      <w:marTop w:val="0"/>
      <w:marBottom w:val="0"/>
      <w:divBdr>
        <w:top w:val="none" w:sz="0" w:space="0" w:color="auto"/>
        <w:left w:val="none" w:sz="0" w:space="0" w:color="auto"/>
        <w:bottom w:val="none" w:sz="0" w:space="0" w:color="auto"/>
        <w:right w:val="none" w:sz="0" w:space="0" w:color="auto"/>
      </w:divBdr>
    </w:div>
    <w:div w:id="1781100883">
      <w:bodyDiv w:val="1"/>
      <w:marLeft w:val="0"/>
      <w:marRight w:val="0"/>
      <w:marTop w:val="0"/>
      <w:marBottom w:val="0"/>
      <w:divBdr>
        <w:top w:val="none" w:sz="0" w:space="0" w:color="auto"/>
        <w:left w:val="none" w:sz="0" w:space="0" w:color="auto"/>
        <w:bottom w:val="none" w:sz="0" w:space="0" w:color="auto"/>
        <w:right w:val="none" w:sz="0" w:space="0" w:color="auto"/>
      </w:divBdr>
    </w:div>
    <w:div w:id="1785225961">
      <w:bodyDiv w:val="1"/>
      <w:marLeft w:val="0"/>
      <w:marRight w:val="0"/>
      <w:marTop w:val="0"/>
      <w:marBottom w:val="0"/>
      <w:divBdr>
        <w:top w:val="none" w:sz="0" w:space="0" w:color="auto"/>
        <w:left w:val="none" w:sz="0" w:space="0" w:color="auto"/>
        <w:bottom w:val="none" w:sz="0" w:space="0" w:color="auto"/>
        <w:right w:val="none" w:sz="0" w:space="0" w:color="auto"/>
      </w:divBdr>
    </w:div>
    <w:div w:id="1802840422">
      <w:bodyDiv w:val="1"/>
      <w:marLeft w:val="0"/>
      <w:marRight w:val="0"/>
      <w:marTop w:val="0"/>
      <w:marBottom w:val="0"/>
      <w:divBdr>
        <w:top w:val="none" w:sz="0" w:space="0" w:color="auto"/>
        <w:left w:val="none" w:sz="0" w:space="0" w:color="auto"/>
        <w:bottom w:val="none" w:sz="0" w:space="0" w:color="auto"/>
        <w:right w:val="none" w:sz="0" w:space="0" w:color="auto"/>
      </w:divBdr>
    </w:div>
    <w:div w:id="1819109000">
      <w:bodyDiv w:val="1"/>
      <w:marLeft w:val="0"/>
      <w:marRight w:val="0"/>
      <w:marTop w:val="0"/>
      <w:marBottom w:val="0"/>
      <w:divBdr>
        <w:top w:val="none" w:sz="0" w:space="0" w:color="auto"/>
        <w:left w:val="none" w:sz="0" w:space="0" w:color="auto"/>
        <w:bottom w:val="none" w:sz="0" w:space="0" w:color="auto"/>
        <w:right w:val="none" w:sz="0" w:space="0" w:color="auto"/>
      </w:divBdr>
    </w:div>
    <w:div w:id="1820149753">
      <w:bodyDiv w:val="1"/>
      <w:marLeft w:val="0"/>
      <w:marRight w:val="0"/>
      <w:marTop w:val="0"/>
      <w:marBottom w:val="0"/>
      <w:divBdr>
        <w:top w:val="none" w:sz="0" w:space="0" w:color="auto"/>
        <w:left w:val="none" w:sz="0" w:space="0" w:color="auto"/>
        <w:bottom w:val="none" w:sz="0" w:space="0" w:color="auto"/>
        <w:right w:val="none" w:sz="0" w:space="0" w:color="auto"/>
      </w:divBdr>
      <w:divsChild>
        <w:div w:id="2125271777">
          <w:marLeft w:val="0"/>
          <w:marRight w:val="0"/>
          <w:marTop w:val="0"/>
          <w:marBottom w:val="0"/>
          <w:divBdr>
            <w:top w:val="none" w:sz="0" w:space="0" w:color="auto"/>
            <w:left w:val="none" w:sz="0" w:space="0" w:color="auto"/>
            <w:bottom w:val="none" w:sz="0" w:space="0" w:color="auto"/>
            <w:right w:val="none" w:sz="0" w:space="0" w:color="auto"/>
          </w:divBdr>
          <w:divsChild>
            <w:div w:id="965965842">
              <w:marLeft w:val="0"/>
              <w:marRight w:val="0"/>
              <w:marTop w:val="0"/>
              <w:marBottom w:val="0"/>
              <w:divBdr>
                <w:top w:val="none" w:sz="0" w:space="0" w:color="auto"/>
                <w:left w:val="none" w:sz="0" w:space="0" w:color="auto"/>
                <w:bottom w:val="none" w:sz="0" w:space="0" w:color="auto"/>
                <w:right w:val="none" w:sz="0" w:space="0" w:color="auto"/>
              </w:divBdr>
              <w:divsChild>
                <w:div w:id="16334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2107">
          <w:marLeft w:val="0"/>
          <w:marRight w:val="0"/>
          <w:marTop w:val="0"/>
          <w:marBottom w:val="0"/>
          <w:divBdr>
            <w:top w:val="none" w:sz="0" w:space="0" w:color="auto"/>
            <w:left w:val="none" w:sz="0" w:space="0" w:color="auto"/>
            <w:bottom w:val="none" w:sz="0" w:space="0" w:color="auto"/>
            <w:right w:val="none" w:sz="0" w:space="0" w:color="auto"/>
          </w:divBdr>
          <w:divsChild>
            <w:div w:id="1792940547">
              <w:marLeft w:val="0"/>
              <w:marRight w:val="0"/>
              <w:marTop w:val="0"/>
              <w:marBottom w:val="0"/>
              <w:divBdr>
                <w:top w:val="none" w:sz="0" w:space="0" w:color="auto"/>
                <w:left w:val="none" w:sz="0" w:space="0" w:color="auto"/>
                <w:bottom w:val="none" w:sz="0" w:space="0" w:color="auto"/>
                <w:right w:val="none" w:sz="0" w:space="0" w:color="auto"/>
              </w:divBdr>
              <w:divsChild>
                <w:div w:id="1198619416">
                  <w:marLeft w:val="0"/>
                  <w:marRight w:val="0"/>
                  <w:marTop w:val="0"/>
                  <w:marBottom w:val="0"/>
                  <w:divBdr>
                    <w:top w:val="none" w:sz="0" w:space="0" w:color="auto"/>
                    <w:left w:val="none" w:sz="0" w:space="0" w:color="auto"/>
                    <w:bottom w:val="none" w:sz="0" w:space="0" w:color="auto"/>
                    <w:right w:val="none" w:sz="0" w:space="0" w:color="auto"/>
                  </w:divBdr>
                  <w:divsChild>
                    <w:div w:id="1361590278">
                      <w:marLeft w:val="0"/>
                      <w:marRight w:val="0"/>
                      <w:marTop w:val="0"/>
                      <w:marBottom w:val="0"/>
                      <w:divBdr>
                        <w:top w:val="none" w:sz="0" w:space="0" w:color="auto"/>
                        <w:left w:val="none" w:sz="0" w:space="0" w:color="auto"/>
                        <w:bottom w:val="none" w:sz="0" w:space="0" w:color="auto"/>
                        <w:right w:val="none" w:sz="0" w:space="0" w:color="auto"/>
                      </w:divBdr>
                      <w:divsChild>
                        <w:div w:id="181742650">
                          <w:marLeft w:val="0"/>
                          <w:marRight w:val="0"/>
                          <w:marTop w:val="0"/>
                          <w:marBottom w:val="0"/>
                          <w:divBdr>
                            <w:top w:val="none" w:sz="0" w:space="0" w:color="auto"/>
                            <w:left w:val="none" w:sz="0" w:space="0" w:color="auto"/>
                            <w:bottom w:val="none" w:sz="0" w:space="0" w:color="auto"/>
                            <w:right w:val="none" w:sz="0" w:space="0" w:color="auto"/>
                          </w:divBdr>
                        </w:div>
                        <w:div w:id="13429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336561">
      <w:bodyDiv w:val="1"/>
      <w:marLeft w:val="0"/>
      <w:marRight w:val="0"/>
      <w:marTop w:val="0"/>
      <w:marBottom w:val="0"/>
      <w:divBdr>
        <w:top w:val="none" w:sz="0" w:space="0" w:color="auto"/>
        <w:left w:val="none" w:sz="0" w:space="0" w:color="auto"/>
        <w:bottom w:val="none" w:sz="0" w:space="0" w:color="auto"/>
        <w:right w:val="none" w:sz="0" w:space="0" w:color="auto"/>
      </w:divBdr>
    </w:div>
    <w:div w:id="1871189541">
      <w:bodyDiv w:val="1"/>
      <w:marLeft w:val="0"/>
      <w:marRight w:val="0"/>
      <w:marTop w:val="0"/>
      <w:marBottom w:val="0"/>
      <w:divBdr>
        <w:top w:val="none" w:sz="0" w:space="0" w:color="auto"/>
        <w:left w:val="none" w:sz="0" w:space="0" w:color="auto"/>
        <w:bottom w:val="none" w:sz="0" w:space="0" w:color="auto"/>
        <w:right w:val="none" w:sz="0" w:space="0" w:color="auto"/>
      </w:divBdr>
    </w:div>
    <w:div w:id="1878158421">
      <w:bodyDiv w:val="1"/>
      <w:marLeft w:val="0"/>
      <w:marRight w:val="0"/>
      <w:marTop w:val="0"/>
      <w:marBottom w:val="0"/>
      <w:divBdr>
        <w:top w:val="none" w:sz="0" w:space="0" w:color="auto"/>
        <w:left w:val="none" w:sz="0" w:space="0" w:color="auto"/>
        <w:bottom w:val="none" w:sz="0" w:space="0" w:color="auto"/>
        <w:right w:val="none" w:sz="0" w:space="0" w:color="auto"/>
      </w:divBdr>
    </w:div>
    <w:div w:id="1894728139">
      <w:bodyDiv w:val="1"/>
      <w:marLeft w:val="0"/>
      <w:marRight w:val="0"/>
      <w:marTop w:val="0"/>
      <w:marBottom w:val="0"/>
      <w:divBdr>
        <w:top w:val="none" w:sz="0" w:space="0" w:color="auto"/>
        <w:left w:val="none" w:sz="0" w:space="0" w:color="auto"/>
        <w:bottom w:val="none" w:sz="0" w:space="0" w:color="auto"/>
        <w:right w:val="none" w:sz="0" w:space="0" w:color="auto"/>
      </w:divBdr>
    </w:div>
    <w:div w:id="1910967254">
      <w:bodyDiv w:val="1"/>
      <w:marLeft w:val="0"/>
      <w:marRight w:val="0"/>
      <w:marTop w:val="0"/>
      <w:marBottom w:val="0"/>
      <w:divBdr>
        <w:top w:val="none" w:sz="0" w:space="0" w:color="auto"/>
        <w:left w:val="none" w:sz="0" w:space="0" w:color="auto"/>
        <w:bottom w:val="none" w:sz="0" w:space="0" w:color="auto"/>
        <w:right w:val="none" w:sz="0" w:space="0" w:color="auto"/>
      </w:divBdr>
    </w:div>
    <w:div w:id="1960185481">
      <w:bodyDiv w:val="1"/>
      <w:marLeft w:val="0"/>
      <w:marRight w:val="0"/>
      <w:marTop w:val="0"/>
      <w:marBottom w:val="0"/>
      <w:divBdr>
        <w:top w:val="none" w:sz="0" w:space="0" w:color="auto"/>
        <w:left w:val="none" w:sz="0" w:space="0" w:color="auto"/>
        <w:bottom w:val="none" w:sz="0" w:space="0" w:color="auto"/>
        <w:right w:val="none" w:sz="0" w:space="0" w:color="auto"/>
      </w:divBdr>
    </w:div>
    <w:div w:id="1960456718">
      <w:bodyDiv w:val="1"/>
      <w:marLeft w:val="0"/>
      <w:marRight w:val="0"/>
      <w:marTop w:val="0"/>
      <w:marBottom w:val="0"/>
      <w:divBdr>
        <w:top w:val="none" w:sz="0" w:space="0" w:color="auto"/>
        <w:left w:val="none" w:sz="0" w:space="0" w:color="auto"/>
        <w:bottom w:val="none" w:sz="0" w:space="0" w:color="auto"/>
        <w:right w:val="none" w:sz="0" w:space="0" w:color="auto"/>
      </w:divBdr>
      <w:divsChild>
        <w:div w:id="563419848">
          <w:marLeft w:val="0"/>
          <w:marRight w:val="0"/>
          <w:marTop w:val="0"/>
          <w:marBottom w:val="0"/>
          <w:divBdr>
            <w:top w:val="none" w:sz="0" w:space="0" w:color="auto"/>
            <w:left w:val="none" w:sz="0" w:space="0" w:color="auto"/>
            <w:bottom w:val="none" w:sz="0" w:space="0" w:color="auto"/>
            <w:right w:val="none" w:sz="0" w:space="0" w:color="auto"/>
          </w:divBdr>
          <w:divsChild>
            <w:div w:id="851916181">
              <w:marLeft w:val="0"/>
              <w:marRight w:val="0"/>
              <w:marTop w:val="0"/>
              <w:marBottom w:val="0"/>
              <w:divBdr>
                <w:top w:val="none" w:sz="0" w:space="0" w:color="auto"/>
                <w:left w:val="none" w:sz="0" w:space="0" w:color="auto"/>
                <w:bottom w:val="none" w:sz="0" w:space="0" w:color="auto"/>
                <w:right w:val="none" w:sz="0" w:space="0" w:color="auto"/>
              </w:divBdr>
              <w:divsChild>
                <w:div w:id="667636830">
                  <w:marLeft w:val="0"/>
                  <w:marRight w:val="0"/>
                  <w:marTop w:val="0"/>
                  <w:marBottom w:val="0"/>
                  <w:divBdr>
                    <w:top w:val="none" w:sz="0" w:space="0" w:color="auto"/>
                    <w:left w:val="none" w:sz="0" w:space="0" w:color="auto"/>
                    <w:bottom w:val="none" w:sz="0" w:space="0" w:color="auto"/>
                    <w:right w:val="none" w:sz="0" w:space="0" w:color="auto"/>
                  </w:divBdr>
                  <w:divsChild>
                    <w:div w:id="1344748586">
                      <w:marLeft w:val="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70588">
      <w:bodyDiv w:val="1"/>
      <w:marLeft w:val="0"/>
      <w:marRight w:val="0"/>
      <w:marTop w:val="0"/>
      <w:marBottom w:val="0"/>
      <w:divBdr>
        <w:top w:val="none" w:sz="0" w:space="0" w:color="auto"/>
        <w:left w:val="none" w:sz="0" w:space="0" w:color="auto"/>
        <w:bottom w:val="none" w:sz="0" w:space="0" w:color="auto"/>
        <w:right w:val="none" w:sz="0" w:space="0" w:color="auto"/>
      </w:divBdr>
    </w:div>
    <w:div w:id="1993826025">
      <w:bodyDiv w:val="1"/>
      <w:marLeft w:val="0"/>
      <w:marRight w:val="0"/>
      <w:marTop w:val="0"/>
      <w:marBottom w:val="0"/>
      <w:divBdr>
        <w:top w:val="none" w:sz="0" w:space="0" w:color="auto"/>
        <w:left w:val="none" w:sz="0" w:space="0" w:color="auto"/>
        <w:bottom w:val="none" w:sz="0" w:space="0" w:color="auto"/>
        <w:right w:val="none" w:sz="0" w:space="0" w:color="auto"/>
      </w:divBdr>
    </w:div>
    <w:div w:id="1998916966">
      <w:bodyDiv w:val="1"/>
      <w:marLeft w:val="0"/>
      <w:marRight w:val="0"/>
      <w:marTop w:val="0"/>
      <w:marBottom w:val="0"/>
      <w:divBdr>
        <w:top w:val="none" w:sz="0" w:space="0" w:color="auto"/>
        <w:left w:val="none" w:sz="0" w:space="0" w:color="auto"/>
        <w:bottom w:val="none" w:sz="0" w:space="0" w:color="auto"/>
        <w:right w:val="none" w:sz="0" w:space="0" w:color="auto"/>
      </w:divBdr>
    </w:div>
    <w:div w:id="202794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ema.gov/media-library-data/1530821743439-e16c13c1f6266bbe374dc00a00ac9910/Hazus_Flood_Model_SOP_level2analysis.pdf" TargetMode="External"/><Relationship Id="rId26" Type="http://schemas.openxmlformats.org/officeDocument/2006/relationships/image" Target="media/image10.png"/><Relationship Id="rId39" Type="http://schemas.openxmlformats.org/officeDocument/2006/relationships/hyperlink" Target="https://mapwv.gov/Assessment/Detail/?PID=02080013001300000000"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oregongeology.org/pubs/ofr/p-O-18-04.ht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mapwv.gov/flood/map/?wkid=102100&amp;x=-8665063.574442726&amp;y=4788237.0562021565&amp;l=13&amp;v=2"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fema.gov/media-library-data/1579211964765-77a8d16172c28267e657b2ad02eb8656/FAST_Factsheet.pdf" TargetMode="External"/><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training.fema.gov/hiedu/docs/hazrm/handout%203-5.pdf"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s://github.com/nhrap-hazus/FAST"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2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IU Colrs">
      <a:dk1>
        <a:sysClr val="windowText" lastClr="000000"/>
      </a:dk1>
      <a:lt1>
        <a:srgbClr val="FFFFFF"/>
      </a:lt1>
      <a:dk2>
        <a:srgbClr val="7D110C"/>
      </a:dk2>
      <a:lt2>
        <a:srgbClr val="EEECE1"/>
      </a:lt2>
      <a:accent1>
        <a:srgbClr val="7D110C"/>
      </a:accent1>
      <a:accent2>
        <a:srgbClr val="C59217"/>
      </a:accent2>
      <a:accent3>
        <a:srgbClr val="4A3C31"/>
      </a:accent3>
      <a:accent4>
        <a:srgbClr val="E1D8B7"/>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CC369-F211-4AA1-9FC2-7DB395A46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10167</Words>
  <Characters>66194</Characters>
  <Application>Microsoft Office Word</Application>
  <DocSecurity>0</DocSecurity>
  <Lines>4412</Lines>
  <Paragraphs>3470</Paragraphs>
  <ScaleCrop>false</ScaleCrop>
  <HeadingPairs>
    <vt:vector size="2" baseType="variant">
      <vt:variant>
        <vt:lpstr>Title</vt:lpstr>
      </vt:variant>
      <vt:variant>
        <vt:i4>1</vt:i4>
      </vt:variant>
    </vt:vector>
  </HeadingPairs>
  <TitlesOfParts>
    <vt:vector size="1" baseType="lpstr">
      <vt:lpstr>Flood Risk aSSESSMENT 
METHODOLOGY</vt:lpstr>
    </vt:vector>
  </TitlesOfParts>
  <Company>Indiana University</Company>
  <LinksUpToDate>false</LinksUpToDate>
  <CharactersWithSpaces>72891</CharactersWithSpaces>
  <SharedDoc>false</SharedDoc>
  <HLinks>
    <vt:vector size="924" baseType="variant">
      <vt:variant>
        <vt:i4>2883613</vt:i4>
      </vt:variant>
      <vt:variant>
        <vt:i4>1575</vt:i4>
      </vt:variant>
      <vt:variant>
        <vt:i4>0</vt:i4>
      </vt:variant>
      <vt:variant>
        <vt:i4>5</vt:i4>
      </vt:variant>
      <vt:variant>
        <vt:lpwstr>mailto:wrtvwebstaff@wrtv.com</vt:lpwstr>
      </vt:variant>
      <vt:variant>
        <vt:lpwstr/>
      </vt:variant>
      <vt:variant>
        <vt:i4>3801128</vt:i4>
      </vt:variant>
      <vt:variant>
        <vt:i4>1572</vt:i4>
      </vt:variant>
      <vt:variant>
        <vt:i4>0</vt:i4>
      </vt:variant>
      <vt:variant>
        <vt:i4>5</vt:i4>
      </vt:variant>
      <vt:variant>
        <vt:lpwstr>http://www.tristate-media.com/pdclarion/news/local_news/article_fb2bf7fa-f10a-11e3-a2bc-001a4bcf887a.html</vt:lpwstr>
      </vt:variant>
      <vt:variant>
        <vt:lpwstr>user-comment-area</vt:lpwstr>
      </vt:variant>
      <vt:variant>
        <vt:i4>1441825</vt:i4>
      </vt:variant>
      <vt:variant>
        <vt:i4>1569</vt:i4>
      </vt:variant>
      <vt:variant>
        <vt:i4>0</vt:i4>
      </vt:variant>
      <vt:variant>
        <vt:i4>5</vt:i4>
      </vt:variant>
      <vt:variant>
        <vt:lpwstr>mailto:andrea@pdclarion.com</vt:lpwstr>
      </vt:variant>
      <vt:variant>
        <vt:lpwstr/>
      </vt:variant>
      <vt:variant>
        <vt:i4>524296</vt:i4>
      </vt:variant>
      <vt:variant>
        <vt:i4>1566</vt:i4>
      </vt:variant>
      <vt:variant>
        <vt:i4>0</vt:i4>
      </vt:variant>
      <vt:variant>
        <vt:i4>5</vt:i4>
      </vt:variant>
      <vt:variant>
        <vt:lpwstr>http://www.tristate-media.com/content/tncms/live/tristate-media.com/pdclarion/news/local_news/article_fb2bf7fa-f10a-11e3-a2bc-001a4bcf887a.html</vt:lpwstr>
      </vt:variant>
      <vt:variant>
        <vt:lpwstr/>
      </vt:variant>
      <vt:variant>
        <vt:i4>3014710</vt:i4>
      </vt:variant>
      <vt:variant>
        <vt:i4>1563</vt:i4>
      </vt:variant>
      <vt:variant>
        <vt:i4>0</vt:i4>
      </vt:variant>
      <vt:variant>
        <vt:i4>5</vt:i4>
      </vt:variant>
      <vt:variant>
        <vt:lpwstr/>
      </vt:variant>
      <vt:variant>
        <vt:lpwstr>6.3</vt:lpwstr>
      </vt:variant>
      <vt:variant>
        <vt:i4>3014710</vt:i4>
      </vt:variant>
      <vt:variant>
        <vt:i4>1560</vt:i4>
      </vt:variant>
      <vt:variant>
        <vt:i4>0</vt:i4>
      </vt:variant>
      <vt:variant>
        <vt:i4>5</vt:i4>
      </vt:variant>
      <vt:variant>
        <vt:lpwstr/>
      </vt:variant>
      <vt:variant>
        <vt:lpwstr>6.2</vt:lpwstr>
      </vt:variant>
      <vt:variant>
        <vt:i4>3014710</vt:i4>
      </vt:variant>
      <vt:variant>
        <vt:i4>1557</vt:i4>
      </vt:variant>
      <vt:variant>
        <vt:i4>0</vt:i4>
      </vt:variant>
      <vt:variant>
        <vt:i4>5</vt:i4>
      </vt:variant>
      <vt:variant>
        <vt:lpwstr/>
      </vt:variant>
      <vt:variant>
        <vt:lpwstr>6.1</vt:lpwstr>
      </vt:variant>
      <vt:variant>
        <vt:i4>7405653</vt:i4>
      </vt:variant>
      <vt:variant>
        <vt:i4>1554</vt:i4>
      </vt:variant>
      <vt:variant>
        <vt:i4>0</vt:i4>
      </vt:variant>
      <vt:variant>
        <vt:i4>5</vt:i4>
      </vt:variant>
      <vt:variant>
        <vt:lpwstr>\\in-polis-nas02\projects\1668 2014 Indiana MHMP\Project_Management\Plan\GIbson\SpencerMHMP56.doc</vt:lpwstr>
      </vt:variant>
      <vt:variant>
        <vt:lpwstr>5.5#5.5</vt:lpwstr>
      </vt:variant>
      <vt:variant>
        <vt:i4>3014709</vt:i4>
      </vt:variant>
      <vt:variant>
        <vt:i4>888</vt:i4>
      </vt:variant>
      <vt:variant>
        <vt:i4>0</vt:i4>
      </vt:variant>
      <vt:variant>
        <vt:i4>5</vt:i4>
      </vt:variant>
      <vt:variant>
        <vt:lpwstr/>
      </vt:variant>
      <vt:variant>
        <vt:lpwstr>5.3</vt:lpwstr>
      </vt:variant>
      <vt:variant>
        <vt:i4>3014709</vt:i4>
      </vt:variant>
      <vt:variant>
        <vt:i4>885</vt:i4>
      </vt:variant>
      <vt:variant>
        <vt:i4>0</vt:i4>
      </vt:variant>
      <vt:variant>
        <vt:i4>5</vt:i4>
      </vt:variant>
      <vt:variant>
        <vt:lpwstr/>
      </vt:variant>
      <vt:variant>
        <vt:lpwstr>5.2</vt:lpwstr>
      </vt:variant>
      <vt:variant>
        <vt:i4>3014709</vt:i4>
      </vt:variant>
      <vt:variant>
        <vt:i4>882</vt:i4>
      </vt:variant>
      <vt:variant>
        <vt:i4>0</vt:i4>
      </vt:variant>
      <vt:variant>
        <vt:i4>5</vt:i4>
      </vt:variant>
      <vt:variant>
        <vt:lpwstr/>
      </vt:variant>
      <vt:variant>
        <vt:lpwstr>5.1</vt:lpwstr>
      </vt:variant>
      <vt:variant>
        <vt:i4>5308435</vt:i4>
      </vt:variant>
      <vt:variant>
        <vt:i4>870</vt:i4>
      </vt:variant>
      <vt:variant>
        <vt:i4>0</vt:i4>
      </vt:variant>
      <vt:variant>
        <vt:i4>5</vt:i4>
      </vt:variant>
      <vt:variant>
        <vt:lpwstr>http://www.srh.noaa.gov/</vt:lpwstr>
      </vt:variant>
      <vt:variant>
        <vt:lpwstr/>
      </vt:variant>
      <vt:variant>
        <vt:i4>1048701</vt:i4>
      </vt:variant>
      <vt:variant>
        <vt:i4>849</vt:i4>
      </vt:variant>
      <vt:variant>
        <vt:i4>0</vt:i4>
      </vt:variant>
      <vt:variant>
        <vt:i4>5</vt:i4>
      </vt:variant>
      <vt:variant>
        <vt:lpwstr>http://en.wikipedia.org/wiki/Poverty_line</vt:lpwstr>
      </vt:variant>
      <vt:variant>
        <vt:lpwstr/>
      </vt:variant>
      <vt:variant>
        <vt:i4>4259841</vt:i4>
      </vt:variant>
      <vt:variant>
        <vt:i4>846</vt:i4>
      </vt:variant>
      <vt:variant>
        <vt:i4>0</vt:i4>
      </vt:variant>
      <vt:variant>
        <vt:i4>5</vt:i4>
      </vt:variant>
      <vt:variant>
        <vt:lpwstr>http://en.wikipedia.org/wiki/Per_capita_income</vt:lpwstr>
      </vt:variant>
      <vt:variant>
        <vt:lpwstr/>
      </vt:variant>
      <vt:variant>
        <vt:i4>2621487</vt:i4>
      </vt:variant>
      <vt:variant>
        <vt:i4>843</vt:i4>
      </vt:variant>
      <vt:variant>
        <vt:i4>0</vt:i4>
      </vt:variant>
      <vt:variant>
        <vt:i4>5</vt:i4>
      </vt:variant>
      <vt:variant>
        <vt:lpwstr>http://en.wikipedia.org/wiki/Oakland_City,_Indiana</vt:lpwstr>
      </vt:variant>
      <vt:variant>
        <vt:lpwstr/>
      </vt:variant>
      <vt:variant>
        <vt:i4>5701659</vt:i4>
      </vt:variant>
      <vt:variant>
        <vt:i4>840</vt:i4>
      </vt:variant>
      <vt:variant>
        <vt:i4>0</vt:i4>
      </vt:variant>
      <vt:variant>
        <vt:i4>5</vt:i4>
      </vt:variant>
      <vt:variant>
        <vt:lpwstr>http://en.wikipedia.org/wiki/Indiana_Southern_Railroad</vt:lpwstr>
      </vt:variant>
      <vt:variant>
        <vt:lpwstr/>
      </vt:variant>
      <vt:variant>
        <vt:i4>2621555</vt:i4>
      </vt:variant>
      <vt:variant>
        <vt:i4>837</vt:i4>
      </vt:variant>
      <vt:variant>
        <vt:i4>0</vt:i4>
      </vt:variant>
      <vt:variant>
        <vt:i4>5</vt:i4>
      </vt:variant>
      <vt:variant>
        <vt:lpwstr>http://en.wikipedia.org/wiki/Norfolk_Southern_Railway</vt:lpwstr>
      </vt:variant>
      <vt:variant>
        <vt:lpwstr/>
      </vt:variant>
      <vt:variant>
        <vt:i4>6422543</vt:i4>
      </vt:variant>
      <vt:variant>
        <vt:i4>834</vt:i4>
      </vt:variant>
      <vt:variant>
        <vt:i4>0</vt:i4>
      </vt:variant>
      <vt:variant>
        <vt:i4>5</vt:i4>
      </vt:variant>
      <vt:variant>
        <vt:lpwstr>http://en.wikipedia.org/wiki/CSX_Transportation</vt:lpwstr>
      </vt:variant>
      <vt:variant>
        <vt:lpwstr/>
      </vt:variant>
      <vt:variant>
        <vt:i4>6750265</vt:i4>
      </vt:variant>
      <vt:variant>
        <vt:i4>828</vt:i4>
      </vt:variant>
      <vt:variant>
        <vt:i4>0</vt:i4>
      </vt:variant>
      <vt:variant>
        <vt:i4>5</vt:i4>
      </vt:variant>
      <vt:variant>
        <vt:lpwstr>http://factfinder2.census.gov/</vt:lpwstr>
      </vt:variant>
      <vt:variant>
        <vt:lpwstr/>
      </vt:variant>
      <vt:variant>
        <vt:i4>8192107</vt:i4>
      </vt:variant>
      <vt:variant>
        <vt:i4>825</vt:i4>
      </vt:variant>
      <vt:variant>
        <vt:i4>0</vt:i4>
      </vt:variant>
      <vt:variant>
        <vt:i4>5</vt:i4>
      </vt:variant>
      <vt:variant>
        <vt:lpwstr>http://en.wikipedia.org/wiki/Pigeon_Creek_%28Indiana%29</vt:lpwstr>
      </vt:variant>
      <vt:variant>
        <vt:lpwstr/>
      </vt:variant>
      <vt:variant>
        <vt:i4>1769523</vt:i4>
      </vt:variant>
      <vt:variant>
        <vt:i4>798</vt:i4>
      </vt:variant>
      <vt:variant>
        <vt:i4>0</vt:i4>
      </vt:variant>
      <vt:variant>
        <vt:i4>5</vt:i4>
      </vt:variant>
      <vt:variant>
        <vt:lpwstr/>
      </vt:variant>
      <vt:variant>
        <vt:lpwstr>_Toc384724673</vt:lpwstr>
      </vt:variant>
      <vt:variant>
        <vt:i4>1769523</vt:i4>
      </vt:variant>
      <vt:variant>
        <vt:i4>792</vt:i4>
      </vt:variant>
      <vt:variant>
        <vt:i4>0</vt:i4>
      </vt:variant>
      <vt:variant>
        <vt:i4>5</vt:i4>
      </vt:variant>
      <vt:variant>
        <vt:lpwstr/>
      </vt:variant>
      <vt:variant>
        <vt:lpwstr>_Toc384724672</vt:lpwstr>
      </vt:variant>
      <vt:variant>
        <vt:i4>1769523</vt:i4>
      </vt:variant>
      <vt:variant>
        <vt:i4>786</vt:i4>
      </vt:variant>
      <vt:variant>
        <vt:i4>0</vt:i4>
      </vt:variant>
      <vt:variant>
        <vt:i4>5</vt:i4>
      </vt:variant>
      <vt:variant>
        <vt:lpwstr/>
      </vt:variant>
      <vt:variant>
        <vt:lpwstr>_Toc384724671</vt:lpwstr>
      </vt:variant>
      <vt:variant>
        <vt:i4>1769523</vt:i4>
      </vt:variant>
      <vt:variant>
        <vt:i4>780</vt:i4>
      </vt:variant>
      <vt:variant>
        <vt:i4>0</vt:i4>
      </vt:variant>
      <vt:variant>
        <vt:i4>5</vt:i4>
      </vt:variant>
      <vt:variant>
        <vt:lpwstr/>
      </vt:variant>
      <vt:variant>
        <vt:lpwstr>_Toc384724670</vt:lpwstr>
      </vt:variant>
      <vt:variant>
        <vt:i4>1703987</vt:i4>
      </vt:variant>
      <vt:variant>
        <vt:i4>774</vt:i4>
      </vt:variant>
      <vt:variant>
        <vt:i4>0</vt:i4>
      </vt:variant>
      <vt:variant>
        <vt:i4>5</vt:i4>
      </vt:variant>
      <vt:variant>
        <vt:lpwstr/>
      </vt:variant>
      <vt:variant>
        <vt:lpwstr>_Toc384724669</vt:lpwstr>
      </vt:variant>
      <vt:variant>
        <vt:i4>1703987</vt:i4>
      </vt:variant>
      <vt:variant>
        <vt:i4>768</vt:i4>
      </vt:variant>
      <vt:variant>
        <vt:i4>0</vt:i4>
      </vt:variant>
      <vt:variant>
        <vt:i4>5</vt:i4>
      </vt:variant>
      <vt:variant>
        <vt:lpwstr/>
      </vt:variant>
      <vt:variant>
        <vt:lpwstr>_Toc384724668</vt:lpwstr>
      </vt:variant>
      <vt:variant>
        <vt:i4>1703987</vt:i4>
      </vt:variant>
      <vt:variant>
        <vt:i4>762</vt:i4>
      </vt:variant>
      <vt:variant>
        <vt:i4>0</vt:i4>
      </vt:variant>
      <vt:variant>
        <vt:i4>5</vt:i4>
      </vt:variant>
      <vt:variant>
        <vt:lpwstr/>
      </vt:variant>
      <vt:variant>
        <vt:lpwstr>_Toc384724667</vt:lpwstr>
      </vt:variant>
      <vt:variant>
        <vt:i4>1703987</vt:i4>
      </vt:variant>
      <vt:variant>
        <vt:i4>756</vt:i4>
      </vt:variant>
      <vt:variant>
        <vt:i4>0</vt:i4>
      </vt:variant>
      <vt:variant>
        <vt:i4>5</vt:i4>
      </vt:variant>
      <vt:variant>
        <vt:lpwstr/>
      </vt:variant>
      <vt:variant>
        <vt:lpwstr>_Toc384724666</vt:lpwstr>
      </vt:variant>
      <vt:variant>
        <vt:i4>1703987</vt:i4>
      </vt:variant>
      <vt:variant>
        <vt:i4>750</vt:i4>
      </vt:variant>
      <vt:variant>
        <vt:i4>0</vt:i4>
      </vt:variant>
      <vt:variant>
        <vt:i4>5</vt:i4>
      </vt:variant>
      <vt:variant>
        <vt:lpwstr/>
      </vt:variant>
      <vt:variant>
        <vt:lpwstr>_Toc384724665</vt:lpwstr>
      </vt:variant>
      <vt:variant>
        <vt:i4>1703987</vt:i4>
      </vt:variant>
      <vt:variant>
        <vt:i4>744</vt:i4>
      </vt:variant>
      <vt:variant>
        <vt:i4>0</vt:i4>
      </vt:variant>
      <vt:variant>
        <vt:i4>5</vt:i4>
      </vt:variant>
      <vt:variant>
        <vt:lpwstr/>
      </vt:variant>
      <vt:variant>
        <vt:lpwstr>_Toc384724664</vt:lpwstr>
      </vt:variant>
      <vt:variant>
        <vt:i4>1703987</vt:i4>
      </vt:variant>
      <vt:variant>
        <vt:i4>738</vt:i4>
      </vt:variant>
      <vt:variant>
        <vt:i4>0</vt:i4>
      </vt:variant>
      <vt:variant>
        <vt:i4>5</vt:i4>
      </vt:variant>
      <vt:variant>
        <vt:lpwstr/>
      </vt:variant>
      <vt:variant>
        <vt:lpwstr>_Toc384724663</vt:lpwstr>
      </vt:variant>
      <vt:variant>
        <vt:i4>1703987</vt:i4>
      </vt:variant>
      <vt:variant>
        <vt:i4>732</vt:i4>
      </vt:variant>
      <vt:variant>
        <vt:i4>0</vt:i4>
      </vt:variant>
      <vt:variant>
        <vt:i4>5</vt:i4>
      </vt:variant>
      <vt:variant>
        <vt:lpwstr/>
      </vt:variant>
      <vt:variant>
        <vt:lpwstr>_Toc384724662</vt:lpwstr>
      </vt:variant>
      <vt:variant>
        <vt:i4>1703987</vt:i4>
      </vt:variant>
      <vt:variant>
        <vt:i4>726</vt:i4>
      </vt:variant>
      <vt:variant>
        <vt:i4>0</vt:i4>
      </vt:variant>
      <vt:variant>
        <vt:i4>5</vt:i4>
      </vt:variant>
      <vt:variant>
        <vt:lpwstr/>
      </vt:variant>
      <vt:variant>
        <vt:lpwstr>_Toc384724661</vt:lpwstr>
      </vt:variant>
      <vt:variant>
        <vt:i4>1703987</vt:i4>
      </vt:variant>
      <vt:variant>
        <vt:i4>720</vt:i4>
      </vt:variant>
      <vt:variant>
        <vt:i4>0</vt:i4>
      </vt:variant>
      <vt:variant>
        <vt:i4>5</vt:i4>
      </vt:variant>
      <vt:variant>
        <vt:lpwstr/>
      </vt:variant>
      <vt:variant>
        <vt:lpwstr>_Toc384724660</vt:lpwstr>
      </vt:variant>
      <vt:variant>
        <vt:i4>1638451</vt:i4>
      </vt:variant>
      <vt:variant>
        <vt:i4>714</vt:i4>
      </vt:variant>
      <vt:variant>
        <vt:i4>0</vt:i4>
      </vt:variant>
      <vt:variant>
        <vt:i4>5</vt:i4>
      </vt:variant>
      <vt:variant>
        <vt:lpwstr/>
      </vt:variant>
      <vt:variant>
        <vt:lpwstr>_Toc384724659</vt:lpwstr>
      </vt:variant>
      <vt:variant>
        <vt:i4>1638451</vt:i4>
      </vt:variant>
      <vt:variant>
        <vt:i4>708</vt:i4>
      </vt:variant>
      <vt:variant>
        <vt:i4>0</vt:i4>
      </vt:variant>
      <vt:variant>
        <vt:i4>5</vt:i4>
      </vt:variant>
      <vt:variant>
        <vt:lpwstr/>
      </vt:variant>
      <vt:variant>
        <vt:lpwstr>_Toc384724658</vt:lpwstr>
      </vt:variant>
      <vt:variant>
        <vt:i4>1638451</vt:i4>
      </vt:variant>
      <vt:variant>
        <vt:i4>702</vt:i4>
      </vt:variant>
      <vt:variant>
        <vt:i4>0</vt:i4>
      </vt:variant>
      <vt:variant>
        <vt:i4>5</vt:i4>
      </vt:variant>
      <vt:variant>
        <vt:lpwstr/>
      </vt:variant>
      <vt:variant>
        <vt:lpwstr>_Toc384724657</vt:lpwstr>
      </vt:variant>
      <vt:variant>
        <vt:i4>1638451</vt:i4>
      </vt:variant>
      <vt:variant>
        <vt:i4>696</vt:i4>
      </vt:variant>
      <vt:variant>
        <vt:i4>0</vt:i4>
      </vt:variant>
      <vt:variant>
        <vt:i4>5</vt:i4>
      </vt:variant>
      <vt:variant>
        <vt:lpwstr/>
      </vt:variant>
      <vt:variant>
        <vt:lpwstr>_Toc384724656</vt:lpwstr>
      </vt:variant>
      <vt:variant>
        <vt:i4>1638451</vt:i4>
      </vt:variant>
      <vt:variant>
        <vt:i4>690</vt:i4>
      </vt:variant>
      <vt:variant>
        <vt:i4>0</vt:i4>
      </vt:variant>
      <vt:variant>
        <vt:i4>5</vt:i4>
      </vt:variant>
      <vt:variant>
        <vt:lpwstr/>
      </vt:variant>
      <vt:variant>
        <vt:lpwstr>_Toc384724655</vt:lpwstr>
      </vt:variant>
      <vt:variant>
        <vt:i4>1638451</vt:i4>
      </vt:variant>
      <vt:variant>
        <vt:i4>684</vt:i4>
      </vt:variant>
      <vt:variant>
        <vt:i4>0</vt:i4>
      </vt:variant>
      <vt:variant>
        <vt:i4>5</vt:i4>
      </vt:variant>
      <vt:variant>
        <vt:lpwstr/>
      </vt:variant>
      <vt:variant>
        <vt:lpwstr>_Toc384724654</vt:lpwstr>
      </vt:variant>
      <vt:variant>
        <vt:i4>1638451</vt:i4>
      </vt:variant>
      <vt:variant>
        <vt:i4>678</vt:i4>
      </vt:variant>
      <vt:variant>
        <vt:i4>0</vt:i4>
      </vt:variant>
      <vt:variant>
        <vt:i4>5</vt:i4>
      </vt:variant>
      <vt:variant>
        <vt:lpwstr/>
      </vt:variant>
      <vt:variant>
        <vt:lpwstr>_Toc384724653</vt:lpwstr>
      </vt:variant>
      <vt:variant>
        <vt:i4>1638451</vt:i4>
      </vt:variant>
      <vt:variant>
        <vt:i4>672</vt:i4>
      </vt:variant>
      <vt:variant>
        <vt:i4>0</vt:i4>
      </vt:variant>
      <vt:variant>
        <vt:i4>5</vt:i4>
      </vt:variant>
      <vt:variant>
        <vt:lpwstr/>
      </vt:variant>
      <vt:variant>
        <vt:lpwstr>_Toc384724652</vt:lpwstr>
      </vt:variant>
      <vt:variant>
        <vt:i4>1638451</vt:i4>
      </vt:variant>
      <vt:variant>
        <vt:i4>666</vt:i4>
      </vt:variant>
      <vt:variant>
        <vt:i4>0</vt:i4>
      </vt:variant>
      <vt:variant>
        <vt:i4>5</vt:i4>
      </vt:variant>
      <vt:variant>
        <vt:lpwstr/>
      </vt:variant>
      <vt:variant>
        <vt:lpwstr>_Toc384724651</vt:lpwstr>
      </vt:variant>
      <vt:variant>
        <vt:i4>1638451</vt:i4>
      </vt:variant>
      <vt:variant>
        <vt:i4>660</vt:i4>
      </vt:variant>
      <vt:variant>
        <vt:i4>0</vt:i4>
      </vt:variant>
      <vt:variant>
        <vt:i4>5</vt:i4>
      </vt:variant>
      <vt:variant>
        <vt:lpwstr/>
      </vt:variant>
      <vt:variant>
        <vt:lpwstr>_Toc384724650</vt:lpwstr>
      </vt:variant>
      <vt:variant>
        <vt:i4>1572915</vt:i4>
      </vt:variant>
      <vt:variant>
        <vt:i4>654</vt:i4>
      </vt:variant>
      <vt:variant>
        <vt:i4>0</vt:i4>
      </vt:variant>
      <vt:variant>
        <vt:i4>5</vt:i4>
      </vt:variant>
      <vt:variant>
        <vt:lpwstr/>
      </vt:variant>
      <vt:variant>
        <vt:lpwstr>_Toc384724649</vt:lpwstr>
      </vt:variant>
      <vt:variant>
        <vt:i4>1572915</vt:i4>
      </vt:variant>
      <vt:variant>
        <vt:i4>648</vt:i4>
      </vt:variant>
      <vt:variant>
        <vt:i4>0</vt:i4>
      </vt:variant>
      <vt:variant>
        <vt:i4>5</vt:i4>
      </vt:variant>
      <vt:variant>
        <vt:lpwstr/>
      </vt:variant>
      <vt:variant>
        <vt:lpwstr>_Toc384724648</vt:lpwstr>
      </vt:variant>
      <vt:variant>
        <vt:i4>1572915</vt:i4>
      </vt:variant>
      <vt:variant>
        <vt:i4>642</vt:i4>
      </vt:variant>
      <vt:variant>
        <vt:i4>0</vt:i4>
      </vt:variant>
      <vt:variant>
        <vt:i4>5</vt:i4>
      </vt:variant>
      <vt:variant>
        <vt:lpwstr/>
      </vt:variant>
      <vt:variant>
        <vt:lpwstr>_Toc384724647</vt:lpwstr>
      </vt:variant>
      <vt:variant>
        <vt:i4>1572915</vt:i4>
      </vt:variant>
      <vt:variant>
        <vt:i4>636</vt:i4>
      </vt:variant>
      <vt:variant>
        <vt:i4>0</vt:i4>
      </vt:variant>
      <vt:variant>
        <vt:i4>5</vt:i4>
      </vt:variant>
      <vt:variant>
        <vt:lpwstr/>
      </vt:variant>
      <vt:variant>
        <vt:lpwstr>_Toc384724646</vt:lpwstr>
      </vt:variant>
      <vt:variant>
        <vt:i4>1572915</vt:i4>
      </vt:variant>
      <vt:variant>
        <vt:i4>630</vt:i4>
      </vt:variant>
      <vt:variant>
        <vt:i4>0</vt:i4>
      </vt:variant>
      <vt:variant>
        <vt:i4>5</vt:i4>
      </vt:variant>
      <vt:variant>
        <vt:lpwstr/>
      </vt:variant>
      <vt:variant>
        <vt:lpwstr>_Toc384724645</vt:lpwstr>
      </vt:variant>
      <vt:variant>
        <vt:i4>1572915</vt:i4>
      </vt:variant>
      <vt:variant>
        <vt:i4>624</vt:i4>
      </vt:variant>
      <vt:variant>
        <vt:i4>0</vt:i4>
      </vt:variant>
      <vt:variant>
        <vt:i4>5</vt:i4>
      </vt:variant>
      <vt:variant>
        <vt:lpwstr/>
      </vt:variant>
      <vt:variant>
        <vt:lpwstr>_Toc384724644</vt:lpwstr>
      </vt:variant>
      <vt:variant>
        <vt:i4>1572915</vt:i4>
      </vt:variant>
      <vt:variant>
        <vt:i4>618</vt:i4>
      </vt:variant>
      <vt:variant>
        <vt:i4>0</vt:i4>
      </vt:variant>
      <vt:variant>
        <vt:i4>5</vt:i4>
      </vt:variant>
      <vt:variant>
        <vt:lpwstr/>
      </vt:variant>
      <vt:variant>
        <vt:lpwstr>_Toc384724643</vt:lpwstr>
      </vt:variant>
      <vt:variant>
        <vt:i4>1572915</vt:i4>
      </vt:variant>
      <vt:variant>
        <vt:i4>612</vt:i4>
      </vt:variant>
      <vt:variant>
        <vt:i4>0</vt:i4>
      </vt:variant>
      <vt:variant>
        <vt:i4>5</vt:i4>
      </vt:variant>
      <vt:variant>
        <vt:lpwstr/>
      </vt:variant>
      <vt:variant>
        <vt:lpwstr>_Toc384724642</vt:lpwstr>
      </vt:variant>
      <vt:variant>
        <vt:i4>1572915</vt:i4>
      </vt:variant>
      <vt:variant>
        <vt:i4>606</vt:i4>
      </vt:variant>
      <vt:variant>
        <vt:i4>0</vt:i4>
      </vt:variant>
      <vt:variant>
        <vt:i4>5</vt:i4>
      </vt:variant>
      <vt:variant>
        <vt:lpwstr/>
      </vt:variant>
      <vt:variant>
        <vt:lpwstr>_Toc384724641</vt:lpwstr>
      </vt:variant>
      <vt:variant>
        <vt:i4>1572915</vt:i4>
      </vt:variant>
      <vt:variant>
        <vt:i4>600</vt:i4>
      </vt:variant>
      <vt:variant>
        <vt:i4>0</vt:i4>
      </vt:variant>
      <vt:variant>
        <vt:i4>5</vt:i4>
      </vt:variant>
      <vt:variant>
        <vt:lpwstr/>
      </vt:variant>
      <vt:variant>
        <vt:lpwstr>_Toc384724640</vt:lpwstr>
      </vt:variant>
      <vt:variant>
        <vt:i4>2031667</vt:i4>
      </vt:variant>
      <vt:variant>
        <vt:i4>594</vt:i4>
      </vt:variant>
      <vt:variant>
        <vt:i4>0</vt:i4>
      </vt:variant>
      <vt:variant>
        <vt:i4>5</vt:i4>
      </vt:variant>
      <vt:variant>
        <vt:lpwstr/>
      </vt:variant>
      <vt:variant>
        <vt:lpwstr>_Toc384724639</vt:lpwstr>
      </vt:variant>
      <vt:variant>
        <vt:i4>2031667</vt:i4>
      </vt:variant>
      <vt:variant>
        <vt:i4>588</vt:i4>
      </vt:variant>
      <vt:variant>
        <vt:i4>0</vt:i4>
      </vt:variant>
      <vt:variant>
        <vt:i4>5</vt:i4>
      </vt:variant>
      <vt:variant>
        <vt:lpwstr/>
      </vt:variant>
      <vt:variant>
        <vt:lpwstr>_Toc384724638</vt:lpwstr>
      </vt:variant>
      <vt:variant>
        <vt:i4>2031667</vt:i4>
      </vt:variant>
      <vt:variant>
        <vt:i4>582</vt:i4>
      </vt:variant>
      <vt:variant>
        <vt:i4>0</vt:i4>
      </vt:variant>
      <vt:variant>
        <vt:i4>5</vt:i4>
      </vt:variant>
      <vt:variant>
        <vt:lpwstr/>
      </vt:variant>
      <vt:variant>
        <vt:lpwstr>_Toc384724637</vt:lpwstr>
      </vt:variant>
      <vt:variant>
        <vt:i4>2031667</vt:i4>
      </vt:variant>
      <vt:variant>
        <vt:i4>576</vt:i4>
      </vt:variant>
      <vt:variant>
        <vt:i4>0</vt:i4>
      </vt:variant>
      <vt:variant>
        <vt:i4>5</vt:i4>
      </vt:variant>
      <vt:variant>
        <vt:lpwstr/>
      </vt:variant>
      <vt:variant>
        <vt:lpwstr>_Toc384724636</vt:lpwstr>
      </vt:variant>
      <vt:variant>
        <vt:i4>2031667</vt:i4>
      </vt:variant>
      <vt:variant>
        <vt:i4>570</vt:i4>
      </vt:variant>
      <vt:variant>
        <vt:i4>0</vt:i4>
      </vt:variant>
      <vt:variant>
        <vt:i4>5</vt:i4>
      </vt:variant>
      <vt:variant>
        <vt:lpwstr/>
      </vt:variant>
      <vt:variant>
        <vt:lpwstr>_Toc384724635</vt:lpwstr>
      </vt:variant>
      <vt:variant>
        <vt:i4>2031667</vt:i4>
      </vt:variant>
      <vt:variant>
        <vt:i4>564</vt:i4>
      </vt:variant>
      <vt:variant>
        <vt:i4>0</vt:i4>
      </vt:variant>
      <vt:variant>
        <vt:i4>5</vt:i4>
      </vt:variant>
      <vt:variant>
        <vt:lpwstr/>
      </vt:variant>
      <vt:variant>
        <vt:lpwstr>_Toc384724634</vt:lpwstr>
      </vt:variant>
      <vt:variant>
        <vt:i4>2031667</vt:i4>
      </vt:variant>
      <vt:variant>
        <vt:i4>558</vt:i4>
      </vt:variant>
      <vt:variant>
        <vt:i4>0</vt:i4>
      </vt:variant>
      <vt:variant>
        <vt:i4>5</vt:i4>
      </vt:variant>
      <vt:variant>
        <vt:lpwstr/>
      </vt:variant>
      <vt:variant>
        <vt:lpwstr>_Toc384724633</vt:lpwstr>
      </vt:variant>
      <vt:variant>
        <vt:i4>2031667</vt:i4>
      </vt:variant>
      <vt:variant>
        <vt:i4>552</vt:i4>
      </vt:variant>
      <vt:variant>
        <vt:i4>0</vt:i4>
      </vt:variant>
      <vt:variant>
        <vt:i4>5</vt:i4>
      </vt:variant>
      <vt:variant>
        <vt:lpwstr/>
      </vt:variant>
      <vt:variant>
        <vt:lpwstr>_Toc384724632</vt:lpwstr>
      </vt:variant>
      <vt:variant>
        <vt:i4>2031667</vt:i4>
      </vt:variant>
      <vt:variant>
        <vt:i4>546</vt:i4>
      </vt:variant>
      <vt:variant>
        <vt:i4>0</vt:i4>
      </vt:variant>
      <vt:variant>
        <vt:i4>5</vt:i4>
      </vt:variant>
      <vt:variant>
        <vt:lpwstr/>
      </vt:variant>
      <vt:variant>
        <vt:lpwstr>_Toc384724631</vt:lpwstr>
      </vt:variant>
      <vt:variant>
        <vt:i4>1179708</vt:i4>
      </vt:variant>
      <vt:variant>
        <vt:i4>538</vt:i4>
      </vt:variant>
      <vt:variant>
        <vt:i4>0</vt:i4>
      </vt:variant>
      <vt:variant>
        <vt:i4>5</vt:i4>
      </vt:variant>
      <vt:variant>
        <vt:lpwstr/>
      </vt:variant>
      <vt:variant>
        <vt:lpwstr>_Toc386804910</vt:lpwstr>
      </vt:variant>
      <vt:variant>
        <vt:i4>1245244</vt:i4>
      </vt:variant>
      <vt:variant>
        <vt:i4>532</vt:i4>
      </vt:variant>
      <vt:variant>
        <vt:i4>0</vt:i4>
      </vt:variant>
      <vt:variant>
        <vt:i4>5</vt:i4>
      </vt:variant>
      <vt:variant>
        <vt:lpwstr/>
      </vt:variant>
      <vt:variant>
        <vt:lpwstr>_Toc386804909</vt:lpwstr>
      </vt:variant>
      <vt:variant>
        <vt:i4>1245244</vt:i4>
      </vt:variant>
      <vt:variant>
        <vt:i4>526</vt:i4>
      </vt:variant>
      <vt:variant>
        <vt:i4>0</vt:i4>
      </vt:variant>
      <vt:variant>
        <vt:i4>5</vt:i4>
      </vt:variant>
      <vt:variant>
        <vt:lpwstr/>
      </vt:variant>
      <vt:variant>
        <vt:lpwstr>_Toc386804908</vt:lpwstr>
      </vt:variant>
      <vt:variant>
        <vt:i4>1245244</vt:i4>
      </vt:variant>
      <vt:variant>
        <vt:i4>520</vt:i4>
      </vt:variant>
      <vt:variant>
        <vt:i4>0</vt:i4>
      </vt:variant>
      <vt:variant>
        <vt:i4>5</vt:i4>
      </vt:variant>
      <vt:variant>
        <vt:lpwstr/>
      </vt:variant>
      <vt:variant>
        <vt:lpwstr>_Toc386804907</vt:lpwstr>
      </vt:variant>
      <vt:variant>
        <vt:i4>1245244</vt:i4>
      </vt:variant>
      <vt:variant>
        <vt:i4>514</vt:i4>
      </vt:variant>
      <vt:variant>
        <vt:i4>0</vt:i4>
      </vt:variant>
      <vt:variant>
        <vt:i4>5</vt:i4>
      </vt:variant>
      <vt:variant>
        <vt:lpwstr/>
      </vt:variant>
      <vt:variant>
        <vt:lpwstr>_Toc386804906</vt:lpwstr>
      </vt:variant>
      <vt:variant>
        <vt:i4>1245244</vt:i4>
      </vt:variant>
      <vt:variant>
        <vt:i4>508</vt:i4>
      </vt:variant>
      <vt:variant>
        <vt:i4>0</vt:i4>
      </vt:variant>
      <vt:variant>
        <vt:i4>5</vt:i4>
      </vt:variant>
      <vt:variant>
        <vt:lpwstr/>
      </vt:variant>
      <vt:variant>
        <vt:lpwstr>_Toc386804905</vt:lpwstr>
      </vt:variant>
      <vt:variant>
        <vt:i4>1245244</vt:i4>
      </vt:variant>
      <vt:variant>
        <vt:i4>502</vt:i4>
      </vt:variant>
      <vt:variant>
        <vt:i4>0</vt:i4>
      </vt:variant>
      <vt:variant>
        <vt:i4>5</vt:i4>
      </vt:variant>
      <vt:variant>
        <vt:lpwstr/>
      </vt:variant>
      <vt:variant>
        <vt:lpwstr>_Toc386804904</vt:lpwstr>
      </vt:variant>
      <vt:variant>
        <vt:i4>1245244</vt:i4>
      </vt:variant>
      <vt:variant>
        <vt:i4>496</vt:i4>
      </vt:variant>
      <vt:variant>
        <vt:i4>0</vt:i4>
      </vt:variant>
      <vt:variant>
        <vt:i4>5</vt:i4>
      </vt:variant>
      <vt:variant>
        <vt:lpwstr/>
      </vt:variant>
      <vt:variant>
        <vt:lpwstr>_Toc386804903</vt:lpwstr>
      </vt:variant>
      <vt:variant>
        <vt:i4>1245244</vt:i4>
      </vt:variant>
      <vt:variant>
        <vt:i4>490</vt:i4>
      </vt:variant>
      <vt:variant>
        <vt:i4>0</vt:i4>
      </vt:variant>
      <vt:variant>
        <vt:i4>5</vt:i4>
      </vt:variant>
      <vt:variant>
        <vt:lpwstr/>
      </vt:variant>
      <vt:variant>
        <vt:lpwstr>_Toc386804902</vt:lpwstr>
      </vt:variant>
      <vt:variant>
        <vt:i4>1245244</vt:i4>
      </vt:variant>
      <vt:variant>
        <vt:i4>484</vt:i4>
      </vt:variant>
      <vt:variant>
        <vt:i4>0</vt:i4>
      </vt:variant>
      <vt:variant>
        <vt:i4>5</vt:i4>
      </vt:variant>
      <vt:variant>
        <vt:lpwstr/>
      </vt:variant>
      <vt:variant>
        <vt:lpwstr>_Toc386804901</vt:lpwstr>
      </vt:variant>
      <vt:variant>
        <vt:i4>1245244</vt:i4>
      </vt:variant>
      <vt:variant>
        <vt:i4>478</vt:i4>
      </vt:variant>
      <vt:variant>
        <vt:i4>0</vt:i4>
      </vt:variant>
      <vt:variant>
        <vt:i4>5</vt:i4>
      </vt:variant>
      <vt:variant>
        <vt:lpwstr/>
      </vt:variant>
      <vt:variant>
        <vt:lpwstr>_Toc386804900</vt:lpwstr>
      </vt:variant>
      <vt:variant>
        <vt:i4>1703997</vt:i4>
      </vt:variant>
      <vt:variant>
        <vt:i4>472</vt:i4>
      </vt:variant>
      <vt:variant>
        <vt:i4>0</vt:i4>
      </vt:variant>
      <vt:variant>
        <vt:i4>5</vt:i4>
      </vt:variant>
      <vt:variant>
        <vt:lpwstr/>
      </vt:variant>
      <vt:variant>
        <vt:lpwstr>_Toc386804899</vt:lpwstr>
      </vt:variant>
      <vt:variant>
        <vt:i4>1703997</vt:i4>
      </vt:variant>
      <vt:variant>
        <vt:i4>466</vt:i4>
      </vt:variant>
      <vt:variant>
        <vt:i4>0</vt:i4>
      </vt:variant>
      <vt:variant>
        <vt:i4>5</vt:i4>
      </vt:variant>
      <vt:variant>
        <vt:lpwstr/>
      </vt:variant>
      <vt:variant>
        <vt:lpwstr>_Toc386804898</vt:lpwstr>
      </vt:variant>
      <vt:variant>
        <vt:i4>1703997</vt:i4>
      </vt:variant>
      <vt:variant>
        <vt:i4>460</vt:i4>
      </vt:variant>
      <vt:variant>
        <vt:i4>0</vt:i4>
      </vt:variant>
      <vt:variant>
        <vt:i4>5</vt:i4>
      </vt:variant>
      <vt:variant>
        <vt:lpwstr/>
      </vt:variant>
      <vt:variant>
        <vt:lpwstr>_Toc386804897</vt:lpwstr>
      </vt:variant>
      <vt:variant>
        <vt:i4>1703997</vt:i4>
      </vt:variant>
      <vt:variant>
        <vt:i4>454</vt:i4>
      </vt:variant>
      <vt:variant>
        <vt:i4>0</vt:i4>
      </vt:variant>
      <vt:variant>
        <vt:i4>5</vt:i4>
      </vt:variant>
      <vt:variant>
        <vt:lpwstr/>
      </vt:variant>
      <vt:variant>
        <vt:lpwstr>_Toc386804896</vt:lpwstr>
      </vt:variant>
      <vt:variant>
        <vt:i4>1703997</vt:i4>
      </vt:variant>
      <vt:variant>
        <vt:i4>448</vt:i4>
      </vt:variant>
      <vt:variant>
        <vt:i4>0</vt:i4>
      </vt:variant>
      <vt:variant>
        <vt:i4>5</vt:i4>
      </vt:variant>
      <vt:variant>
        <vt:lpwstr/>
      </vt:variant>
      <vt:variant>
        <vt:lpwstr>_Toc386804895</vt:lpwstr>
      </vt:variant>
      <vt:variant>
        <vt:i4>1703997</vt:i4>
      </vt:variant>
      <vt:variant>
        <vt:i4>442</vt:i4>
      </vt:variant>
      <vt:variant>
        <vt:i4>0</vt:i4>
      </vt:variant>
      <vt:variant>
        <vt:i4>5</vt:i4>
      </vt:variant>
      <vt:variant>
        <vt:lpwstr/>
      </vt:variant>
      <vt:variant>
        <vt:lpwstr>_Toc386804894</vt:lpwstr>
      </vt:variant>
      <vt:variant>
        <vt:i4>1703997</vt:i4>
      </vt:variant>
      <vt:variant>
        <vt:i4>436</vt:i4>
      </vt:variant>
      <vt:variant>
        <vt:i4>0</vt:i4>
      </vt:variant>
      <vt:variant>
        <vt:i4>5</vt:i4>
      </vt:variant>
      <vt:variant>
        <vt:lpwstr/>
      </vt:variant>
      <vt:variant>
        <vt:lpwstr>_Toc386804893</vt:lpwstr>
      </vt:variant>
      <vt:variant>
        <vt:i4>1703997</vt:i4>
      </vt:variant>
      <vt:variant>
        <vt:i4>430</vt:i4>
      </vt:variant>
      <vt:variant>
        <vt:i4>0</vt:i4>
      </vt:variant>
      <vt:variant>
        <vt:i4>5</vt:i4>
      </vt:variant>
      <vt:variant>
        <vt:lpwstr/>
      </vt:variant>
      <vt:variant>
        <vt:lpwstr>_Toc386804892</vt:lpwstr>
      </vt:variant>
      <vt:variant>
        <vt:i4>1703997</vt:i4>
      </vt:variant>
      <vt:variant>
        <vt:i4>424</vt:i4>
      </vt:variant>
      <vt:variant>
        <vt:i4>0</vt:i4>
      </vt:variant>
      <vt:variant>
        <vt:i4>5</vt:i4>
      </vt:variant>
      <vt:variant>
        <vt:lpwstr/>
      </vt:variant>
      <vt:variant>
        <vt:lpwstr>_Toc386804891</vt:lpwstr>
      </vt:variant>
      <vt:variant>
        <vt:i4>1703997</vt:i4>
      </vt:variant>
      <vt:variant>
        <vt:i4>418</vt:i4>
      </vt:variant>
      <vt:variant>
        <vt:i4>0</vt:i4>
      </vt:variant>
      <vt:variant>
        <vt:i4>5</vt:i4>
      </vt:variant>
      <vt:variant>
        <vt:lpwstr/>
      </vt:variant>
      <vt:variant>
        <vt:lpwstr>_Toc386804890</vt:lpwstr>
      </vt:variant>
      <vt:variant>
        <vt:i4>1769533</vt:i4>
      </vt:variant>
      <vt:variant>
        <vt:i4>412</vt:i4>
      </vt:variant>
      <vt:variant>
        <vt:i4>0</vt:i4>
      </vt:variant>
      <vt:variant>
        <vt:i4>5</vt:i4>
      </vt:variant>
      <vt:variant>
        <vt:lpwstr/>
      </vt:variant>
      <vt:variant>
        <vt:lpwstr>_Toc386804889</vt:lpwstr>
      </vt:variant>
      <vt:variant>
        <vt:i4>1769533</vt:i4>
      </vt:variant>
      <vt:variant>
        <vt:i4>406</vt:i4>
      </vt:variant>
      <vt:variant>
        <vt:i4>0</vt:i4>
      </vt:variant>
      <vt:variant>
        <vt:i4>5</vt:i4>
      </vt:variant>
      <vt:variant>
        <vt:lpwstr/>
      </vt:variant>
      <vt:variant>
        <vt:lpwstr>_Toc386804888</vt:lpwstr>
      </vt:variant>
      <vt:variant>
        <vt:i4>1769533</vt:i4>
      </vt:variant>
      <vt:variant>
        <vt:i4>400</vt:i4>
      </vt:variant>
      <vt:variant>
        <vt:i4>0</vt:i4>
      </vt:variant>
      <vt:variant>
        <vt:i4>5</vt:i4>
      </vt:variant>
      <vt:variant>
        <vt:lpwstr/>
      </vt:variant>
      <vt:variant>
        <vt:lpwstr>_Toc386804887</vt:lpwstr>
      </vt:variant>
      <vt:variant>
        <vt:i4>1769533</vt:i4>
      </vt:variant>
      <vt:variant>
        <vt:i4>394</vt:i4>
      </vt:variant>
      <vt:variant>
        <vt:i4>0</vt:i4>
      </vt:variant>
      <vt:variant>
        <vt:i4>5</vt:i4>
      </vt:variant>
      <vt:variant>
        <vt:lpwstr/>
      </vt:variant>
      <vt:variant>
        <vt:lpwstr>_Toc386804886</vt:lpwstr>
      </vt:variant>
      <vt:variant>
        <vt:i4>1769533</vt:i4>
      </vt:variant>
      <vt:variant>
        <vt:i4>388</vt:i4>
      </vt:variant>
      <vt:variant>
        <vt:i4>0</vt:i4>
      </vt:variant>
      <vt:variant>
        <vt:i4>5</vt:i4>
      </vt:variant>
      <vt:variant>
        <vt:lpwstr/>
      </vt:variant>
      <vt:variant>
        <vt:lpwstr>_Toc386804885</vt:lpwstr>
      </vt:variant>
      <vt:variant>
        <vt:i4>1769533</vt:i4>
      </vt:variant>
      <vt:variant>
        <vt:i4>382</vt:i4>
      </vt:variant>
      <vt:variant>
        <vt:i4>0</vt:i4>
      </vt:variant>
      <vt:variant>
        <vt:i4>5</vt:i4>
      </vt:variant>
      <vt:variant>
        <vt:lpwstr/>
      </vt:variant>
      <vt:variant>
        <vt:lpwstr>_Toc386804884</vt:lpwstr>
      </vt:variant>
      <vt:variant>
        <vt:i4>1769533</vt:i4>
      </vt:variant>
      <vt:variant>
        <vt:i4>376</vt:i4>
      </vt:variant>
      <vt:variant>
        <vt:i4>0</vt:i4>
      </vt:variant>
      <vt:variant>
        <vt:i4>5</vt:i4>
      </vt:variant>
      <vt:variant>
        <vt:lpwstr/>
      </vt:variant>
      <vt:variant>
        <vt:lpwstr>_Toc386804883</vt:lpwstr>
      </vt:variant>
      <vt:variant>
        <vt:i4>1769533</vt:i4>
      </vt:variant>
      <vt:variant>
        <vt:i4>370</vt:i4>
      </vt:variant>
      <vt:variant>
        <vt:i4>0</vt:i4>
      </vt:variant>
      <vt:variant>
        <vt:i4>5</vt:i4>
      </vt:variant>
      <vt:variant>
        <vt:lpwstr/>
      </vt:variant>
      <vt:variant>
        <vt:lpwstr>_Toc386804882</vt:lpwstr>
      </vt:variant>
      <vt:variant>
        <vt:i4>1769533</vt:i4>
      </vt:variant>
      <vt:variant>
        <vt:i4>364</vt:i4>
      </vt:variant>
      <vt:variant>
        <vt:i4>0</vt:i4>
      </vt:variant>
      <vt:variant>
        <vt:i4>5</vt:i4>
      </vt:variant>
      <vt:variant>
        <vt:lpwstr/>
      </vt:variant>
      <vt:variant>
        <vt:lpwstr>_Toc386804881</vt:lpwstr>
      </vt:variant>
      <vt:variant>
        <vt:i4>1769533</vt:i4>
      </vt:variant>
      <vt:variant>
        <vt:i4>358</vt:i4>
      </vt:variant>
      <vt:variant>
        <vt:i4>0</vt:i4>
      </vt:variant>
      <vt:variant>
        <vt:i4>5</vt:i4>
      </vt:variant>
      <vt:variant>
        <vt:lpwstr/>
      </vt:variant>
      <vt:variant>
        <vt:lpwstr>_Toc386804880</vt:lpwstr>
      </vt:variant>
      <vt:variant>
        <vt:i4>1310781</vt:i4>
      </vt:variant>
      <vt:variant>
        <vt:i4>352</vt:i4>
      </vt:variant>
      <vt:variant>
        <vt:i4>0</vt:i4>
      </vt:variant>
      <vt:variant>
        <vt:i4>5</vt:i4>
      </vt:variant>
      <vt:variant>
        <vt:lpwstr/>
      </vt:variant>
      <vt:variant>
        <vt:lpwstr>_Toc386804879</vt:lpwstr>
      </vt:variant>
      <vt:variant>
        <vt:i4>1310781</vt:i4>
      </vt:variant>
      <vt:variant>
        <vt:i4>346</vt:i4>
      </vt:variant>
      <vt:variant>
        <vt:i4>0</vt:i4>
      </vt:variant>
      <vt:variant>
        <vt:i4>5</vt:i4>
      </vt:variant>
      <vt:variant>
        <vt:lpwstr/>
      </vt:variant>
      <vt:variant>
        <vt:lpwstr>_Toc386804878</vt:lpwstr>
      </vt:variant>
      <vt:variant>
        <vt:i4>1310781</vt:i4>
      </vt:variant>
      <vt:variant>
        <vt:i4>340</vt:i4>
      </vt:variant>
      <vt:variant>
        <vt:i4>0</vt:i4>
      </vt:variant>
      <vt:variant>
        <vt:i4>5</vt:i4>
      </vt:variant>
      <vt:variant>
        <vt:lpwstr/>
      </vt:variant>
      <vt:variant>
        <vt:lpwstr>_Toc386804877</vt:lpwstr>
      </vt:variant>
      <vt:variant>
        <vt:i4>1310781</vt:i4>
      </vt:variant>
      <vt:variant>
        <vt:i4>334</vt:i4>
      </vt:variant>
      <vt:variant>
        <vt:i4>0</vt:i4>
      </vt:variant>
      <vt:variant>
        <vt:i4>5</vt:i4>
      </vt:variant>
      <vt:variant>
        <vt:lpwstr/>
      </vt:variant>
      <vt:variant>
        <vt:lpwstr>_Toc386804876</vt:lpwstr>
      </vt:variant>
      <vt:variant>
        <vt:i4>1310781</vt:i4>
      </vt:variant>
      <vt:variant>
        <vt:i4>328</vt:i4>
      </vt:variant>
      <vt:variant>
        <vt:i4>0</vt:i4>
      </vt:variant>
      <vt:variant>
        <vt:i4>5</vt:i4>
      </vt:variant>
      <vt:variant>
        <vt:lpwstr/>
      </vt:variant>
      <vt:variant>
        <vt:lpwstr>_Toc386804875</vt:lpwstr>
      </vt:variant>
      <vt:variant>
        <vt:i4>1310781</vt:i4>
      </vt:variant>
      <vt:variant>
        <vt:i4>322</vt:i4>
      </vt:variant>
      <vt:variant>
        <vt:i4>0</vt:i4>
      </vt:variant>
      <vt:variant>
        <vt:i4>5</vt:i4>
      </vt:variant>
      <vt:variant>
        <vt:lpwstr/>
      </vt:variant>
      <vt:variant>
        <vt:lpwstr>_Toc386804874</vt:lpwstr>
      </vt:variant>
      <vt:variant>
        <vt:i4>1835064</vt:i4>
      </vt:variant>
      <vt:variant>
        <vt:i4>314</vt:i4>
      </vt:variant>
      <vt:variant>
        <vt:i4>0</vt:i4>
      </vt:variant>
      <vt:variant>
        <vt:i4>5</vt:i4>
      </vt:variant>
      <vt:variant>
        <vt:lpwstr/>
      </vt:variant>
      <vt:variant>
        <vt:lpwstr>_Toc389653764</vt:lpwstr>
      </vt:variant>
      <vt:variant>
        <vt:i4>1835064</vt:i4>
      </vt:variant>
      <vt:variant>
        <vt:i4>308</vt:i4>
      </vt:variant>
      <vt:variant>
        <vt:i4>0</vt:i4>
      </vt:variant>
      <vt:variant>
        <vt:i4>5</vt:i4>
      </vt:variant>
      <vt:variant>
        <vt:lpwstr/>
      </vt:variant>
      <vt:variant>
        <vt:lpwstr>_Toc389653763</vt:lpwstr>
      </vt:variant>
      <vt:variant>
        <vt:i4>1835064</vt:i4>
      </vt:variant>
      <vt:variant>
        <vt:i4>302</vt:i4>
      </vt:variant>
      <vt:variant>
        <vt:i4>0</vt:i4>
      </vt:variant>
      <vt:variant>
        <vt:i4>5</vt:i4>
      </vt:variant>
      <vt:variant>
        <vt:lpwstr/>
      </vt:variant>
      <vt:variant>
        <vt:lpwstr>_Toc389653762</vt:lpwstr>
      </vt:variant>
      <vt:variant>
        <vt:i4>1835064</vt:i4>
      </vt:variant>
      <vt:variant>
        <vt:i4>296</vt:i4>
      </vt:variant>
      <vt:variant>
        <vt:i4>0</vt:i4>
      </vt:variant>
      <vt:variant>
        <vt:i4>5</vt:i4>
      </vt:variant>
      <vt:variant>
        <vt:lpwstr/>
      </vt:variant>
      <vt:variant>
        <vt:lpwstr>_Toc389653761</vt:lpwstr>
      </vt:variant>
      <vt:variant>
        <vt:i4>1835064</vt:i4>
      </vt:variant>
      <vt:variant>
        <vt:i4>290</vt:i4>
      </vt:variant>
      <vt:variant>
        <vt:i4>0</vt:i4>
      </vt:variant>
      <vt:variant>
        <vt:i4>5</vt:i4>
      </vt:variant>
      <vt:variant>
        <vt:lpwstr/>
      </vt:variant>
      <vt:variant>
        <vt:lpwstr>_Toc389653760</vt:lpwstr>
      </vt:variant>
      <vt:variant>
        <vt:i4>2031672</vt:i4>
      </vt:variant>
      <vt:variant>
        <vt:i4>284</vt:i4>
      </vt:variant>
      <vt:variant>
        <vt:i4>0</vt:i4>
      </vt:variant>
      <vt:variant>
        <vt:i4>5</vt:i4>
      </vt:variant>
      <vt:variant>
        <vt:lpwstr/>
      </vt:variant>
      <vt:variant>
        <vt:lpwstr>_Toc389653759</vt:lpwstr>
      </vt:variant>
      <vt:variant>
        <vt:i4>2031672</vt:i4>
      </vt:variant>
      <vt:variant>
        <vt:i4>278</vt:i4>
      </vt:variant>
      <vt:variant>
        <vt:i4>0</vt:i4>
      </vt:variant>
      <vt:variant>
        <vt:i4>5</vt:i4>
      </vt:variant>
      <vt:variant>
        <vt:lpwstr/>
      </vt:variant>
      <vt:variant>
        <vt:lpwstr>_Toc389653758</vt:lpwstr>
      </vt:variant>
      <vt:variant>
        <vt:i4>2031672</vt:i4>
      </vt:variant>
      <vt:variant>
        <vt:i4>272</vt:i4>
      </vt:variant>
      <vt:variant>
        <vt:i4>0</vt:i4>
      </vt:variant>
      <vt:variant>
        <vt:i4>5</vt:i4>
      </vt:variant>
      <vt:variant>
        <vt:lpwstr/>
      </vt:variant>
      <vt:variant>
        <vt:lpwstr>_Toc389653757</vt:lpwstr>
      </vt:variant>
      <vt:variant>
        <vt:i4>2031672</vt:i4>
      </vt:variant>
      <vt:variant>
        <vt:i4>266</vt:i4>
      </vt:variant>
      <vt:variant>
        <vt:i4>0</vt:i4>
      </vt:variant>
      <vt:variant>
        <vt:i4>5</vt:i4>
      </vt:variant>
      <vt:variant>
        <vt:lpwstr/>
      </vt:variant>
      <vt:variant>
        <vt:lpwstr>_Toc389653756</vt:lpwstr>
      </vt:variant>
      <vt:variant>
        <vt:i4>2031672</vt:i4>
      </vt:variant>
      <vt:variant>
        <vt:i4>260</vt:i4>
      </vt:variant>
      <vt:variant>
        <vt:i4>0</vt:i4>
      </vt:variant>
      <vt:variant>
        <vt:i4>5</vt:i4>
      </vt:variant>
      <vt:variant>
        <vt:lpwstr/>
      </vt:variant>
      <vt:variant>
        <vt:lpwstr>_Toc389653755</vt:lpwstr>
      </vt:variant>
      <vt:variant>
        <vt:i4>2031672</vt:i4>
      </vt:variant>
      <vt:variant>
        <vt:i4>254</vt:i4>
      </vt:variant>
      <vt:variant>
        <vt:i4>0</vt:i4>
      </vt:variant>
      <vt:variant>
        <vt:i4>5</vt:i4>
      </vt:variant>
      <vt:variant>
        <vt:lpwstr/>
      </vt:variant>
      <vt:variant>
        <vt:lpwstr>_Toc389653754</vt:lpwstr>
      </vt:variant>
      <vt:variant>
        <vt:i4>2031672</vt:i4>
      </vt:variant>
      <vt:variant>
        <vt:i4>248</vt:i4>
      </vt:variant>
      <vt:variant>
        <vt:i4>0</vt:i4>
      </vt:variant>
      <vt:variant>
        <vt:i4>5</vt:i4>
      </vt:variant>
      <vt:variant>
        <vt:lpwstr/>
      </vt:variant>
      <vt:variant>
        <vt:lpwstr>_Toc389653753</vt:lpwstr>
      </vt:variant>
      <vt:variant>
        <vt:i4>2031672</vt:i4>
      </vt:variant>
      <vt:variant>
        <vt:i4>242</vt:i4>
      </vt:variant>
      <vt:variant>
        <vt:i4>0</vt:i4>
      </vt:variant>
      <vt:variant>
        <vt:i4>5</vt:i4>
      </vt:variant>
      <vt:variant>
        <vt:lpwstr/>
      </vt:variant>
      <vt:variant>
        <vt:lpwstr>_Toc389653752</vt:lpwstr>
      </vt:variant>
      <vt:variant>
        <vt:i4>2031672</vt:i4>
      </vt:variant>
      <vt:variant>
        <vt:i4>236</vt:i4>
      </vt:variant>
      <vt:variant>
        <vt:i4>0</vt:i4>
      </vt:variant>
      <vt:variant>
        <vt:i4>5</vt:i4>
      </vt:variant>
      <vt:variant>
        <vt:lpwstr/>
      </vt:variant>
      <vt:variant>
        <vt:lpwstr>_Toc389653751</vt:lpwstr>
      </vt:variant>
      <vt:variant>
        <vt:i4>2031672</vt:i4>
      </vt:variant>
      <vt:variant>
        <vt:i4>230</vt:i4>
      </vt:variant>
      <vt:variant>
        <vt:i4>0</vt:i4>
      </vt:variant>
      <vt:variant>
        <vt:i4>5</vt:i4>
      </vt:variant>
      <vt:variant>
        <vt:lpwstr/>
      </vt:variant>
      <vt:variant>
        <vt:lpwstr>_Toc389653750</vt:lpwstr>
      </vt:variant>
      <vt:variant>
        <vt:i4>1966136</vt:i4>
      </vt:variant>
      <vt:variant>
        <vt:i4>224</vt:i4>
      </vt:variant>
      <vt:variant>
        <vt:i4>0</vt:i4>
      </vt:variant>
      <vt:variant>
        <vt:i4>5</vt:i4>
      </vt:variant>
      <vt:variant>
        <vt:lpwstr/>
      </vt:variant>
      <vt:variant>
        <vt:lpwstr>_Toc389653748</vt:lpwstr>
      </vt:variant>
      <vt:variant>
        <vt:i4>1966136</vt:i4>
      </vt:variant>
      <vt:variant>
        <vt:i4>218</vt:i4>
      </vt:variant>
      <vt:variant>
        <vt:i4>0</vt:i4>
      </vt:variant>
      <vt:variant>
        <vt:i4>5</vt:i4>
      </vt:variant>
      <vt:variant>
        <vt:lpwstr/>
      </vt:variant>
      <vt:variant>
        <vt:lpwstr>_Toc389653741</vt:lpwstr>
      </vt:variant>
      <vt:variant>
        <vt:i4>1966136</vt:i4>
      </vt:variant>
      <vt:variant>
        <vt:i4>212</vt:i4>
      </vt:variant>
      <vt:variant>
        <vt:i4>0</vt:i4>
      </vt:variant>
      <vt:variant>
        <vt:i4>5</vt:i4>
      </vt:variant>
      <vt:variant>
        <vt:lpwstr/>
      </vt:variant>
      <vt:variant>
        <vt:lpwstr>_Toc389653740</vt:lpwstr>
      </vt:variant>
      <vt:variant>
        <vt:i4>1638456</vt:i4>
      </vt:variant>
      <vt:variant>
        <vt:i4>206</vt:i4>
      </vt:variant>
      <vt:variant>
        <vt:i4>0</vt:i4>
      </vt:variant>
      <vt:variant>
        <vt:i4>5</vt:i4>
      </vt:variant>
      <vt:variant>
        <vt:lpwstr/>
      </vt:variant>
      <vt:variant>
        <vt:lpwstr>_Toc389653739</vt:lpwstr>
      </vt:variant>
      <vt:variant>
        <vt:i4>1638456</vt:i4>
      </vt:variant>
      <vt:variant>
        <vt:i4>200</vt:i4>
      </vt:variant>
      <vt:variant>
        <vt:i4>0</vt:i4>
      </vt:variant>
      <vt:variant>
        <vt:i4>5</vt:i4>
      </vt:variant>
      <vt:variant>
        <vt:lpwstr/>
      </vt:variant>
      <vt:variant>
        <vt:lpwstr>_Toc389653738</vt:lpwstr>
      </vt:variant>
      <vt:variant>
        <vt:i4>1638456</vt:i4>
      </vt:variant>
      <vt:variant>
        <vt:i4>194</vt:i4>
      </vt:variant>
      <vt:variant>
        <vt:i4>0</vt:i4>
      </vt:variant>
      <vt:variant>
        <vt:i4>5</vt:i4>
      </vt:variant>
      <vt:variant>
        <vt:lpwstr/>
      </vt:variant>
      <vt:variant>
        <vt:lpwstr>_Toc389653737</vt:lpwstr>
      </vt:variant>
      <vt:variant>
        <vt:i4>1638456</vt:i4>
      </vt:variant>
      <vt:variant>
        <vt:i4>188</vt:i4>
      </vt:variant>
      <vt:variant>
        <vt:i4>0</vt:i4>
      </vt:variant>
      <vt:variant>
        <vt:i4>5</vt:i4>
      </vt:variant>
      <vt:variant>
        <vt:lpwstr/>
      </vt:variant>
      <vt:variant>
        <vt:lpwstr>_Toc389653736</vt:lpwstr>
      </vt:variant>
      <vt:variant>
        <vt:i4>1638456</vt:i4>
      </vt:variant>
      <vt:variant>
        <vt:i4>182</vt:i4>
      </vt:variant>
      <vt:variant>
        <vt:i4>0</vt:i4>
      </vt:variant>
      <vt:variant>
        <vt:i4>5</vt:i4>
      </vt:variant>
      <vt:variant>
        <vt:lpwstr/>
      </vt:variant>
      <vt:variant>
        <vt:lpwstr>_Toc389653735</vt:lpwstr>
      </vt:variant>
      <vt:variant>
        <vt:i4>1638456</vt:i4>
      </vt:variant>
      <vt:variant>
        <vt:i4>176</vt:i4>
      </vt:variant>
      <vt:variant>
        <vt:i4>0</vt:i4>
      </vt:variant>
      <vt:variant>
        <vt:i4>5</vt:i4>
      </vt:variant>
      <vt:variant>
        <vt:lpwstr/>
      </vt:variant>
      <vt:variant>
        <vt:lpwstr>_Toc389653734</vt:lpwstr>
      </vt:variant>
      <vt:variant>
        <vt:i4>1638456</vt:i4>
      </vt:variant>
      <vt:variant>
        <vt:i4>170</vt:i4>
      </vt:variant>
      <vt:variant>
        <vt:i4>0</vt:i4>
      </vt:variant>
      <vt:variant>
        <vt:i4>5</vt:i4>
      </vt:variant>
      <vt:variant>
        <vt:lpwstr/>
      </vt:variant>
      <vt:variant>
        <vt:lpwstr>_Toc389653732</vt:lpwstr>
      </vt:variant>
      <vt:variant>
        <vt:i4>1638456</vt:i4>
      </vt:variant>
      <vt:variant>
        <vt:i4>164</vt:i4>
      </vt:variant>
      <vt:variant>
        <vt:i4>0</vt:i4>
      </vt:variant>
      <vt:variant>
        <vt:i4>5</vt:i4>
      </vt:variant>
      <vt:variant>
        <vt:lpwstr/>
      </vt:variant>
      <vt:variant>
        <vt:lpwstr>_Toc389653731</vt:lpwstr>
      </vt:variant>
      <vt:variant>
        <vt:i4>1638456</vt:i4>
      </vt:variant>
      <vt:variant>
        <vt:i4>158</vt:i4>
      </vt:variant>
      <vt:variant>
        <vt:i4>0</vt:i4>
      </vt:variant>
      <vt:variant>
        <vt:i4>5</vt:i4>
      </vt:variant>
      <vt:variant>
        <vt:lpwstr/>
      </vt:variant>
      <vt:variant>
        <vt:lpwstr>_Toc389653730</vt:lpwstr>
      </vt:variant>
      <vt:variant>
        <vt:i4>1572920</vt:i4>
      </vt:variant>
      <vt:variant>
        <vt:i4>152</vt:i4>
      </vt:variant>
      <vt:variant>
        <vt:i4>0</vt:i4>
      </vt:variant>
      <vt:variant>
        <vt:i4>5</vt:i4>
      </vt:variant>
      <vt:variant>
        <vt:lpwstr/>
      </vt:variant>
      <vt:variant>
        <vt:lpwstr>_Toc389653729</vt:lpwstr>
      </vt:variant>
      <vt:variant>
        <vt:i4>1572920</vt:i4>
      </vt:variant>
      <vt:variant>
        <vt:i4>146</vt:i4>
      </vt:variant>
      <vt:variant>
        <vt:i4>0</vt:i4>
      </vt:variant>
      <vt:variant>
        <vt:i4>5</vt:i4>
      </vt:variant>
      <vt:variant>
        <vt:lpwstr/>
      </vt:variant>
      <vt:variant>
        <vt:lpwstr>_Toc389653728</vt:lpwstr>
      </vt:variant>
      <vt:variant>
        <vt:i4>1572920</vt:i4>
      </vt:variant>
      <vt:variant>
        <vt:i4>140</vt:i4>
      </vt:variant>
      <vt:variant>
        <vt:i4>0</vt:i4>
      </vt:variant>
      <vt:variant>
        <vt:i4>5</vt:i4>
      </vt:variant>
      <vt:variant>
        <vt:lpwstr/>
      </vt:variant>
      <vt:variant>
        <vt:lpwstr>_Toc389653727</vt:lpwstr>
      </vt:variant>
      <vt:variant>
        <vt:i4>1572920</vt:i4>
      </vt:variant>
      <vt:variant>
        <vt:i4>134</vt:i4>
      </vt:variant>
      <vt:variant>
        <vt:i4>0</vt:i4>
      </vt:variant>
      <vt:variant>
        <vt:i4>5</vt:i4>
      </vt:variant>
      <vt:variant>
        <vt:lpwstr/>
      </vt:variant>
      <vt:variant>
        <vt:lpwstr>_Toc389653726</vt:lpwstr>
      </vt:variant>
      <vt:variant>
        <vt:i4>1572920</vt:i4>
      </vt:variant>
      <vt:variant>
        <vt:i4>128</vt:i4>
      </vt:variant>
      <vt:variant>
        <vt:i4>0</vt:i4>
      </vt:variant>
      <vt:variant>
        <vt:i4>5</vt:i4>
      </vt:variant>
      <vt:variant>
        <vt:lpwstr/>
      </vt:variant>
      <vt:variant>
        <vt:lpwstr>_Toc389653725</vt:lpwstr>
      </vt:variant>
      <vt:variant>
        <vt:i4>1572920</vt:i4>
      </vt:variant>
      <vt:variant>
        <vt:i4>122</vt:i4>
      </vt:variant>
      <vt:variant>
        <vt:i4>0</vt:i4>
      </vt:variant>
      <vt:variant>
        <vt:i4>5</vt:i4>
      </vt:variant>
      <vt:variant>
        <vt:lpwstr/>
      </vt:variant>
      <vt:variant>
        <vt:lpwstr>_Toc389653724</vt:lpwstr>
      </vt:variant>
      <vt:variant>
        <vt:i4>1572920</vt:i4>
      </vt:variant>
      <vt:variant>
        <vt:i4>116</vt:i4>
      </vt:variant>
      <vt:variant>
        <vt:i4>0</vt:i4>
      </vt:variant>
      <vt:variant>
        <vt:i4>5</vt:i4>
      </vt:variant>
      <vt:variant>
        <vt:lpwstr/>
      </vt:variant>
      <vt:variant>
        <vt:lpwstr>_Toc389653723</vt:lpwstr>
      </vt:variant>
      <vt:variant>
        <vt:i4>1572920</vt:i4>
      </vt:variant>
      <vt:variant>
        <vt:i4>110</vt:i4>
      </vt:variant>
      <vt:variant>
        <vt:i4>0</vt:i4>
      </vt:variant>
      <vt:variant>
        <vt:i4>5</vt:i4>
      </vt:variant>
      <vt:variant>
        <vt:lpwstr/>
      </vt:variant>
      <vt:variant>
        <vt:lpwstr>_Toc389653722</vt:lpwstr>
      </vt:variant>
      <vt:variant>
        <vt:i4>1572920</vt:i4>
      </vt:variant>
      <vt:variant>
        <vt:i4>104</vt:i4>
      </vt:variant>
      <vt:variant>
        <vt:i4>0</vt:i4>
      </vt:variant>
      <vt:variant>
        <vt:i4>5</vt:i4>
      </vt:variant>
      <vt:variant>
        <vt:lpwstr/>
      </vt:variant>
      <vt:variant>
        <vt:lpwstr>_Toc389653721</vt:lpwstr>
      </vt:variant>
      <vt:variant>
        <vt:i4>1769528</vt:i4>
      </vt:variant>
      <vt:variant>
        <vt:i4>98</vt:i4>
      </vt:variant>
      <vt:variant>
        <vt:i4>0</vt:i4>
      </vt:variant>
      <vt:variant>
        <vt:i4>5</vt:i4>
      </vt:variant>
      <vt:variant>
        <vt:lpwstr/>
      </vt:variant>
      <vt:variant>
        <vt:lpwstr>_Toc389653719</vt:lpwstr>
      </vt:variant>
      <vt:variant>
        <vt:i4>1769528</vt:i4>
      </vt:variant>
      <vt:variant>
        <vt:i4>92</vt:i4>
      </vt:variant>
      <vt:variant>
        <vt:i4>0</vt:i4>
      </vt:variant>
      <vt:variant>
        <vt:i4>5</vt:i4>
      </vt:variant>
      <vt:variant>
        <vt:lpwstr/>
      </vt:variant>
      <vt:variant>
        <vt:lpwstr>_Toc389653717</vt:lpwstr>
      </vt:variant>
      <vt:variant>
        <vt:i4>1769528</vt:i4>
      </vt:variant>
      <vt:variant>
        <vt:i4>86</vt:i4>
      </vt:variant>
      <vt:variant>
        <vt:i4>0</vt:i4>
      </vt:variant>
      <vt:variant>
        <vt:i4>5</vt:i4>
      </vt:variant>
      <vt:variant>
        <vt:lpwstr/>
      </vt:variant>
      <vt:variant>
        <vt:lpwstr>_Toc389653716</vt:lpwstr>
      </vt:variant>
      <vt:variant>
        <vt:i4>1769528</vt:i4>
      </vt:variant>
      <vt:variant>
        <vt:i4>80</vt:i4>
      </vt:variant>
      <vt:variant>
        <vt:i4>0</vt:i4>
      </vt:variant>
      <vt:variant>
        <vt:i4>5</vt:i4>
      </vt:variant>
      <vt:variant>
        <vt:lpwstr/>
      </vt:variant>
      <vt:variant>
        <vt:lpwstr>_Toc389653715</vt:lpwstr>
      </vt:variant>
      <vt:variant>
        <vt:i4>1769528</vt:i4>
      </vt:variant>
      <vt:variant>
        <vt:i4>74</vt:i4>
      </vt:variant>
      <vt:variant>
        <vt:i4>0</vt:i4>
      </vt:variant>
      <vt:variant>
        <vt:i4>5</vt:i4>
      </vt:variant>
      <vt:variant>
        <vt:lpwstr/>
      </vt:variant>
      <vt:variant>
        <vt:lpwstr>_Toc389653713</vt:lpwstr>
      </vt:variant>
      <vt:variant>
        <vt:i4>1769528</vt:i4>
      </vt:variant>
      <vt:variant>
        <vt:i4>68</vt:i4>
      </vt:variant>
      <vt:variant>
        <vt:i4>0</vt:i4>
      </vt:variant>
      <vt:variant>
        <vt:i4>5</vt:i4>
      </vt:variant>
      <vt:variant>
        <vt:lpwstr/>
      </vt:variant>
      <vt:variant>
        <vt:lpwstr>_Toc389653712</vt:lpwstr>
      </vt:variant>
      <vt:variant>
        <vt:i4>1769528</vt:i4>
      </vt:variant>
      <vt:variant>
        <vt:i4>62</vt:i4>
      </vt:variant>
      <vt:variant>
        <vt:i4>0</vt:i4>
      </vt:variant>
      <vt:variant>
        <vt:i4>5</vt:i4>
      </vt:variant>
      <vt:variant>
        <vt:lpwstr/>
      </vt:variant>
      <vt:variant>
        <vt:lpwstr>_Toc389653711</vt:lpwstr>
      </vt:variant>
      <vt:variant>
        <vt:i4>1769528</vt:i4>
      </vt:variant>
      <vt:variant>
        <vt:i4>56</vt:i4>
      </vt:variant>
      <vt:variant>
        <vt:i4>0</vt:i4>
      </vt:variant>
      <vt:variant>
        <vt:i4>5</vt:i4>
      </vt:variant>
      <vt:variant>
        <vt:lpwstr/>
      </vt:variant>
      <vt:variant>
        <vt:lpwstr>_Toc389653710</vt:lpwstr>
      </vt:variant>
      <vt:variant>
        <vt:i4>1703992</vt:i4>
      </vt:variant>
      <vt:variant>
        <vt:i4>50</vt:i4>
      </vt:variant>
      <vt:variant>
        <vt:i4>0</vt:i4>
      </vt:variant>
      <vt:variant>
        <vt:i4>5</vt:i4>
      </vt:variant>
      <vt:variant>
        <vt:lpwstr/>
      </vt:variant>
      <vt:variant>
        <vt:lpwstr>_Toc389653709</vt:lpwstr>
      </vt:variant>
      <vt:variant>
        <vt:i4>1703992</vt:i4>
      </vt:variant>
      <vt:variant>
        <vt:i4>44</vt:i4>
      </vt:variant>
      <vt:variant>
        <vt:i4>0</vt:i4>
      </vt:variant>
      <vt:variant>
        <vt:i4>5</vt:i4>
      </vt:variant>
      <vt:variant>
        <vt:lpwstr/>
      </vt:variant>
      <vt:variant>
        <vt:lpwstr>_Toc389653708</vt:lpwstr>
      </vt:variant>
      <vt:variant>
        <vt:i4>1703992</vt:i4>
      </vt:variant>
      <vt:variant>
        <vt:i4>38</vt:i4>
      </vt:variant>
      <vt:variant>
        <vt:i4>0</vt:i4>
      </vt:variant>
      <vt:variant>
        <vt:i4>5</vt:i4>
      </vt:variant>
      <vt:variant>
        <vt:lpwstr/>
      </vt:variant>
      <vt:variant>
        <vt:lpwstr>_Toc389653707</vt:lpwstr>
      </vt:variant>
      <vt:variant>
        <vt:i4>1703992</vt:i4>
      </vt:variant>
      <vt:variant>
        <vt:i4>32</vt:i4>
      </vt:variant>
      <vt:variant>
        <vt:i4>0</vt:i4>
      </vt:variant>
      <vt:variant>
        <vt:i4>5</vt:i4>
      </vt:variant>
      <vt:variant>
        <vt:lpwstr/>
      </vt:variant>
      <vt:variant>
        <vt:lpwstr>_Toc389653706</vt:lpwstr>
      </vt:variant>
      <vt:variant>
        <vt:i4>1703992</vt:i4>
      </vt:variant>
      <vt:variant>
        <vt:i4>26</vt:i4>
      </vt:variant>
      <vt:variant>
        <vt:i4>0</vt:i4>
      </vt:variant>
      <vt:variant>
        <vt:i4>5</vt:i4>
      </vt:variant>
      <vt:variant>
        <vt:lpwstr/>
      </vt:variant>
      <vt:variant>
        <vt:lpwstr>_Toc389653705</vt:lpwstr>
      </vt:variant>
      <vt:variant>
        <vt:i4>1703992</vt:i4>
      </vt:variant>
      <vt:variant>
        <vt:i4>20</vt:i4>
      </vt:variant>
      <vt:variant>
        <vt:i4>0</vt:i4>
      </vt:variant>
      <vt:variant>
        <vt:i4>5</vt:i4>
      </vt:variant>
      <vt:variant>
        <vt:lpwstr/>
      </vt:variant>
      <vt:variant>
        <vt:lpwstr>_Toc389653705</vt:lpwstr>
      </vt:variant>
      <vt:variant>
        <vt:i4>1703992</vt:i4>
      </vt:variant>
      <vt:variant>
        <vt:i4>14</vt:i4>
      </vt:variant>
      <vt:variant>
        <vt:i4>0</vt:i4>
      </vt:variant>
      <vt:variant>
        <vt:i4>5</vt:i4>
      </vt:variant>
      <vt:variant>
        <vt:lpwstr/>
      </vt:variant>
      <vt:variant>
        <vt:lpwstr>_Toc389653704</vt:lpwstr>
      </vt:variant>
      <vt:variant>
        <vt:i4>1441841</vt:i4>
      </vt:variant>
      <vt:variant>
        <vt:i4>8</vt:i4>
      </vt:variant>
      <vt:variant>
        <vt:i4>0</vt:i4>
      </vt:variant>
      <vt:variant>
        <vt:i4>5</vt:i4>
      </vt:variant>
      <vt:variant>
        <vt:lpwstr/>
      </vt:variant>
      <vt:variant>
        <vt:lpwstr>_Toc384637586</vt:lpwstr>
      </vt:variant>
      <vt:variant>
        <vt:i4>1703992</vt:i4>
      </vt:variant>
      <vt:variant>
        <vt:i4>5</vt:i4>
      </vt:variant>
      <vt:variant>
        <vt:i4>0</vt:i4>
      </vt:variant>
      <vt:variant>
        <vt:i4>5</vt:i4>
      </vt:variant>
      <vt:variant>
        <vt:lpwstr/>
      </vt:variant>
      <vt:variant>
        <vt:lpwstr>_Toc389653703</vt:lpwstr>
      </vt:variant>
      <vt:variant>
        <vt:i4>2359346</vt:i4>
      </vt:variant>
      <vt:variant>
        <vt:i4>0</vt:i4>
      </vt:variant>
      <vt:variant>
        <vt:i4>0</vt:i4>
      </vt:variant>
      <vt:variant>
        <vt:i4>5</vt:i4>
      </vt:variant>
      <vt:variant>
        <vt:lpwstr>http://www.polis.iupui.edu/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Risk aSSESSMENT 
METHODOLOGY</dc:title>
  <dc:subject>Supplement to the Berkeley County Hazard Mitigation Plan</dc:subject>
  <dc:creator>Kurt Donaldson</dc:creator>
  <cp:keywords/>
  <dc:description/>
  <cp:lastModifiedBy>Kurt Donaldson</cp:lastModifiedBy>
  <cp:revision>3</cp:revision>
  <cp:lastPrinted>2020-03-06T22:36:00Z</cp:lastPrinted>
  <dcterms:created xsi:type="dcterms:W3CDTF">2020-08-26T03:53:00Z</dcterms:created>
  <dcterms:modified xsi:type="dcterms:W3CDTF">2020-08-26T04:22:00Z</dcterms:modified>
</cp:coreProperties>
</file>