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79332" w14:textId="2CC67E31" w:rsidR="00534F2D" w:rsidRDefault="00534F2D" w:rsidP="003E3C17">
      <w:pPr>
        <w:ind w:left="-450"/>
      </w:pPr>
      <w:bookmarkStart w:id="0" w:name="_Hlk25425964"/>
      <w:r>
        <w:t>Table 1.  CRS 400 Series Credit for</w:t>
      </w:r>
      <w:r w:rsidR="003E3C17">
        <w:t xml:space="preserve"> </w:t>
      </w:r>
      <w:r w:rsidR="003E3C17" w:rsidRPr="003E3C17">
        <w:rPr>
          <w:b/>
          <w:bCs/>
        </w:rPr>
        <w:t>Open Space Preservation</w:t>
      </w:r>
      <w:r w:rsidR="003E3C17">
        <w:t xml:space="preserve"> (CRS 420 Activity) and Higher Regulatory Standards </w:t>
      </w:r>
      <w:r w:rsidR="003E3C17" w:rsidRPr="003E3C17">
        <w:rPr>
          <w:b/>
          <w:bCs/>
        </w:rPr>
        <w:t xml:space="preserve">Freeboard </w:t>
      </w:r>
      <w:r w:rsidR="003E3C17">
        <w:t>(CRS 430 Activity)</w:t>
      </w:r>
    </w:p>
    <w:p w14:paraId="0FDB913B" w14:textId="6E3D01C3" w:rsidR="003E3C17" w:rsidRDefault="003E3C17" w:rsidP="003E3C17">
      <w:pPr>
        <w:ind w:left="-450"/>
      </w:pPr>
      <w:r w:rsidRPr="003E3C17">
        <w:rPr>
          <w:highlight w:val="green"/>
        </w:rPr>
        <w:t>Green Highlighted Text:</w:t>
      </w:r>
      <w:r>
        <w:t xml:space="preserve"> GIS layers and values prepared by Maneesh for inputs for Community Reports</w:t>
      </w:r>
      <w:r>
        <w:br/>
      </w:r>
      <w:r w:rsidRPr="003E3C17">
        <w:rPr>
          <w:highlight w:val="cyan"/>
        </w:rPr>
        <w:t>Cyan Highlighted Text:</w:t>
      </w:r>
      <w:r>
        <w:t xml:space="preserve">  Values computed by Yibing for Community Reports</w:t>
      </w:r>
    </w:p>
    <w:tbl>
      <w:tblPr>
        <w:tblW w:w="10170" w:type="dxa"/>
        <w:tblInd w:w="-455" w:type="dxa"/>
        <w:tblLook w:val="04A0" w:firstRow="1" w:lastRow="0" w:firstColumn="1" w:lastColumn="0" w:noHBand="0" w:noVBand="1"/>
      </w:tblPr>
      <w:tblGrid>
        <w:gridCol w:w="1193"/>
        <w:gridCol w:w="2160"/>
        <w:gridCol w:w="2137"/>
        <w:gridCol w:w="2160"/>
        <w:gridCol w:w="2520"/>
      </w:tblGrid>
      <w:tr w:rsidR="00534F2D" w:rsidRPr="00FF38D7" w14:paraId="435E9C58" w14:textId="0D520DE5" w:rsidTr="00534F2D">
        <w:trPr>
          <w:trHeight w:val="320"/>
        </w:trPr>
        <w:tc>
          <w:tcPr>
            <w:tcW w:w="11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A95CF23" w14:textId="400540E6" w:rsidR="00534F2D" w:rsidRPr="00FF38D7" w:rsidRDefault="00534F2D" w:rsidP="00FF38D7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F38D7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CRS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E6E6E6" w:fill="E6E6E6"/>
            <w:hideMark/>
          </w:tcPr>
          <w:p w14:paraId="140FDF55" w14:textId="1C7FB6D5" w:rsidR="00534F2D" w:rsidRPr="00507D2A" w:rsidRDefault="00534F2D" w:rsidP="00EB2D2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07D2A">
              <w:rPr>
                <w:rFonts w:eastAsia="Times New Roman" w:cstheme="minorHAnsi"/>
                <w:sz w:val="20"/>
                <w:szCs w:val="20"/>
              </w:rPr>
              <w:t>CRS-422.a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E6E6E6" w:fill="E6E6E6"/>
            <w:hideMark/>
          </w:tcPr>
          <w:p w14:paraId="3FF78C9B" w14:textId="77777777" w:rsidR="00534F2D" w:rsidRPr="00507D2A" w:rsidRDefault="00534F2D" w:rsidP="00EB2D2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07D2A">
              <w:rPr>
                <w:rFonts w:eastAsia="Times New Roman" w:cstheme="minorHAnsi"/>
                <w:sz w:val="20"/>
                <w:szCs w:val="20"/>
              </w:rPr>
              <w:t>CRS-422.b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E6E6E6" w:fill="E6E6E6"/>
            <w:hideMark/>
          </w:tcPr>
          <w:p w14:paraId="16D9F027" w14:textId="77777777" w:rsidR="00534F2D" w:rsidRPr="00507D2A" w:rsidRDefault="00534F2D" w:rsidP="00EB2D2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07D2A">
              <w:rPr>
                <w:rFonts w:eastAsia="Times New Roman" w:cstheme="minorHAnsi"/>
                <w:sz w:val="20"/>
                <w:szCs w:val="20"/>
              </w:rPr>
              <w:t>CRS-422.c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E6E6E6" w:fill="E6E6E6"/>
            <w:hideMark/>
          </w:tcPr>
          <w:p w14:paraId="41DEB37A" w14:textId="02B5C3ED" w:rsidR="00534F2D" w:rsidRPr="00507D2A" w:rsidRDefault="00534F2D" w:rsidP="00EB2D2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07D2A">
              <w:rPr>
                <w:rFonts w:eastAsia="Times New Roman" w:cstheme="minorHAnsi"/>
                <w:sz w:val="20"/>
                <w:szCs w:val="20"/>
              </w:rPr>
              <w:t>CRS-</w:t>
            </w:r>
            <w:r w:rsidRPr="00FF38D7">
              <w:rPr>
                <w:rFonts w:eastAsia="Times New Roman" w:cstheme="minorHAnsi"/>
                <w:sz w:val="20"/>
                <w:szCs w:val="20"/>
              </w:rPr>
              <w:t>432</w:t>
            </w:r>
            <w:r w:rsidRPr="00507D2A">
              <w:rPr>
                <w:rFonts w:eastAsia="Times New Roman" w:cstheme="minorHAnsi"/>
                <w:sz w:val="20"/>
                <w:szCs w:val="20"/>
              </w:rPr>
              <w:t>.b</w:t>
            </w:r>
          </w:p>
        </w:tc>
      </w:tr>
      <w:tr w:rsidR="00534F2D" w:rsidRPr="00FF38D7" w14:paraId="0F879120" w14:textId="2FE3F14C" w:rsidTr="00534F2D">
        <w:trPr>
          <w:trHeight w:val="125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B557125" w14:textId="5501F496" w:rsidR="00534F2D" w:rsidRPr="00FF38D7" w:rsidRDefault="00534F2D" w:rsidP="00FF38D7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F38D7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Activity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E6E6E6" w:fill="FCD5B4"/>
            <w:hideMark/>
          </w:tcPr>
          <w:p w14:paraId="1FA0A7B9" w14:textId="10384FAE" w:rsidR="00534F2D" w:rsidRPr="00507D2A" w:rsidRDefault="00534F2D" w:rsidP="00507D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07D2A">
              <w:rPr>
                <w:rFonts w:eastAsia="Times New Roman" w:cstheme="minorHAnsi"/>
                <w:b/>
                <w:bCs/>
                <w:sz w:val="20"/>
                <w:szCs w:val="20"/>
              </w:rPr>
              <w:t>Acres of Open Space Preservation (OSP) in the Regulatory Floodplain (SFHA)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E6E6E6" w:fill="FCD5B4"/>
            <w:hideMark/>
          </w:tcPr>
          <w:p w14:paraId="714F302E" w14:textId="76AC5A86" w:rsidR="00534F2D" w:rsidRPr="00507D2A" w:rsidRDefault="00534F2D" w:rsidP="00507D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07D2A">
              <w:rPr>
                <w:rFonts w:eastAsia="Times New Roman" w:cstheme="minorHAnsi"/>
                <w:b/>
                <w:bCs/>
                <w:sz w:val="20"/>
                <w:szCs w:val="20"/>
              </w:rPr>
              <w:t>Acres of Deed Restricted (DR) in SFHA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E6E6E6" w:fill="FCD5B4"/>
            <w:hideMark/>
          </w:tcPr>
          <w:p w14:paraId="05F85BF6" w14:textId="77777777" w:rsidR="00534F2D" w:rsidRPr="00507D2A" w:rsidRDefault="00534F2D" w:rsidP="00507D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07D2A">
              <w:rPr>
                <w:rFonts w:eastAsia="Times New Roman" w:cstheme="minorHAnsi"/>
                <w:b/>
                <w:bCs/>
                <w:sz w:val="20"/>
                <w:szCs w:val="20"/>
              </w:rPr>
              <w:t>Acres of Natural Functions Open Space (NFOS) in SFHA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1BBC9AB" w14:textId="26CF1611" w:rsidR="00534F2D" w:rsidRDefault="00534F2D" w:rsidP="00507D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F38D7">
              <w:rPr>
                <w:rFonts w:eastAsia="Times New Roman" w:cstheme="minorHAnsi"/>
                <w:b/>
                <w:bCs/>
                <w:sz w:val="20"/>
                <w:szCs w:val="20"/>
              </w:rPr>
              <w:t>Freeboard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for SFHA minus OSP</w:t>
            </w:r>
          </w:p>
          <w:p w14:paraId="23EC9A9A" w14:textId="1EB2F05C" w:rsidR="00534F2D" w:rsidRPr="00507D2A" w:rsidRDefault="00534F2D" w:rsidP="00507D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F38D7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FF38D7">
              <w:rPr>
                <w:rFonts w:eastAsia="Times New Roman" w:cstheme="minorHAnsi"/>
                <w:sz w:val="20"/>
                <w:szCs w:val="20"/>
              </w:rPr>
              <w:t>(</w:t>
            </w:r>
            <w:r w:rsidRPr="00FF38D7">
              <w:rPr>
                <w:rFonts w:cstheme="minorHAnsi"/>
                <w:sz w:val="20"/>
                <w:szCs w:val="20"/>
              </w:rPr>
              <w:t>Areas requested for FRB credit must exclude areas credited for OSP)</w:t>
            </w:r>
            <w:r w:rsidRPr="00FF38D7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34F2D" w:rsidRPr="00FF38D7" w14:paraId="2BD53C6A" w14:textId="3C0804A9" w:rsidTr="00534F2D">
        <w:trPr>
          <w:trHeight w:val="29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5BCE087" w14:textId="6F8A3F12" w:rsidR="00534F2D" w:rsidRPr="00FF38D7" w:rsidRDefault="00534F2D" w:rsidP="00FF38D7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F38D7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Report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E0D80" w14:textId="027C0C9A" w:rsidR="00534F2D" w:rsidRPr="00FF38D7" w:rsidRDefault="00534F2D" w:rsidP="00FF38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highlight w:val="green"/>
              </w:rPr>
              <w:t>aSFHA</w:t>
            </w:r>
            <w:proofErr w:type="spellEnd"/>
            <w:r w:rsidR="006B5D2A">
              <w:rPr>
                <w:rFonts w:eastAsia="Times New Roman" w:cstheme="minorHAnsi"/>
                <w:color w:val="000000"/>
                <w:sz w:val="20"/>
                <w:szCs w:val="20"/>
                <w:highlight w:val="green"/>
              </w:rPr>
              <w:t xml:space="preserve"> (</w:t>
            </w:r>
            <w:proofErr w:type="spellStart"/>
            <w:r w:rsidR="006B5D2A">
              <w:rPr>
                <w:rFonts w:eastAsia="Times New Roman" w:cstheme="minorHAnsi"/>
                <w:color w:val="000000"/>
                <w:sz w:val="20"/>
                <w:szCs w:val="20"/>
                <w:highlight w:val="green"/>
              </w:rPr>
              <w:t>mSFHA</w:t>
            </w:r>
            <w:proofErr w:type="spellEnd"/>
            <w:r w:rsidR="006B5D2A">
              <w:rPr>
                <w:rFonts w:eastAsia="Times New Roman" w:cstheme="minorHAnsi"/>
                <w:color w:val="000000"/>
                <w:sz w:val="20"/>
                <w:szCs w:val="20"/>
                <w:highlight w:val="green"/>
              </w:rPr>
              <w:t>),</w:t>
            </w:r>
            <w:r>
              <w:rPr>
                <w:rFonts w:eastAsia="Times New Roman" w:cstheme="minorHAnsi"/>
                <w:color w:val="000000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FF38D7">
              <w:rPr>
                <w:rFonts w:eastAsia="Times New Roman" w:cstheme="minorHAnsi"/>
                <w:color w:val="000000"/>
                <w:sz w:val="20"/>
                <w:szCs w:val="20"/>
                <w:highlight w:val="green"/>
              </w:rPr>
              <w:t>aOSP</w:t>
            </w:r>
            <w:proofErr w:type="spellEnd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2D2C">
              <w:rPr>
                <w:rFonts w:eastAsia="Times New Roman" w:cstheme="minorHAnsi"/>
                <w:color w:val="000000"/>
                <w:sz w:val="20"/>
                <w:szCs w:val="20"/>
                <w:highlight w:val="green"/>
              </w:rPr>
              <w:t>aPublic</w:t>
            </w:r>
            <w:proofErr w:type="spellEnd"/>
            <w:r w:rsidRPr="00EB2D2C">
              <w:rPr>
                <w:rFonts w:eastAsia="Times New Roman" w:cstheme="minorHAnsi"/>
                <w:color w:val="000000"/>
                <w:sz w:val="20"/>
                <w:szCs w:val="20"/>
                <w:highlight w:val="green"/>
              </w:rPr>
              <w:t xml:space="preserve">, </w:t>
            </w:r>
            <w:proofErr w:type="spellStart"/>
            <w:r w:rsidRPr="00EB2D2C">
              <w:rPr>
                <w:rFonts w:eastAsia="Times New Roman" w:cstheme="minorHAnsi"/>
                <w:color w:val="000000"/>
                <w:sz w:val="20"/>
                <w:szCs w:val="20"/>
                <w:highlight w:val="green"/>
              </w:rPr>
              <w:t>aPrivate</w:t>
            </w:r>
            <w:proofErr w:type="spellEnd"/>
            <w:r w:rsidRPr="00EB2D2C">
              <w:rPr>
                <w:rFonts w:eastAsia="Times New Roman" w:cstheme="minorHAnsi"/>
                <w:color w:val="000000"/>
                <w:sz w:val="20"/>
                <w:szCs w:val="20"/>
                <w:highlight w:val="green"/>
              </w:rPr>
              <w:t xml:space="preserve">, </w:t>
            </w:r>
            <w:proofErr w:type="spellStart"/>
            <w:r w:rsidRPr="00EB2D2C">
              <w:rPr>
                <w:rFonts w:eastAsia="Times New Roman" w:cstheme="minorHAnsi"/>
                <w:color w:val="000000"/>
                <w:sz w:val="20"/>
                <w:szCs w:val="20"/>
                <w:highlight w:val="green"/>
              </w:rPr>
              <w:t>aDR</w:t>
            </w:r>
            <w:proofErr w:type="spellEnd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3C17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>rOSP</w:t>
            </w:r>
            <w:proofErr w:type="spellEnd"/>
            <w:r w:rsidRPr="003E3C17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 xml:space="preserve">, </w:t>
            </w:r>
            <w:proofErr w:type="spellStart"/>
            <w:r w:rsidRPr="003E3C17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>cOSP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8DB6A" w14:textId="0B5F67EB" w:rsidR="00534F2D" w:rsidRPr="00FF38D7" w:rsidRDefault="00534F2D" w:rsidP="00FF38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F38D7">
              <w:rPr>
                <w:rFonts w:eastAsia="Times New Roman" w:cstheme="minorHAnsi"/>
                <w:color w:val="000000"/>
                <w:sz w:val="20"/>
                <w:szCs w:val="20"/>
                <w:highlight w:val="green"/>
              </w:rPr>
              <w:t>aDR</w:t>
            </w:r>
            <w:proofErr w:type="spellEnd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E3C17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>rDR</w:t>
            </w:r>
            <w:proofErr w:type="spellEnd"/>
            <w:r w:rsidRPr="003E3C17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 xml:space="preserve">, </w:t>
            </w:r>
            <w:proofErr w:type="spellStart"/>
            <w:r w:rsidRPr="003E3C17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>cDR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64B59" w14:textId="7081BC46" w:rsidR="00534F2D" w:rsidRPr="00FF38D7" w:rsidRDefault="00534F2D" w:rsidP="00FF38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F38D7">
              <w:rPr>
                <w:rFonts w:eastAsia="Times New Roman" w:cstheme="minorHAnsi"/>
                <w:color w:val="000000"/>
                <w:sz w:val="20"/>
                <w:szCs w:val="20"/>
                <w:highlight w:val="green"/>
              </w:rPr>
              <w:t>aNFOS</w:t>
            </w:r>
            <w:proofErr w:type="spellEnd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E3C17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>rNFOS</w:t>
            </w:r>
            <w:proofErr w:type="spellEnd"/>
            <w:r w:rsidRPr="003E3C17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 xml:space="preserve">, </w:t>
            </w:r>
            <w:proofErr w:type="spellStart"/>
            <w:r w:rsidRPr="003E3C17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>cNFOS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56700" w14:textId="54F8A86A" w:rsidR="00534F2D" w:rsidRPr="00FF38D7" w:rsidRDefault="00534F2D" w:rsidP="00FF38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E3C17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 xml:space="preserve">FRB, </w:t>
            </w:r>
            <w:proofErr w:type="spellStart"/>
            <w:r w:rsidRPr="003E3C17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>aFRB</w:t>
            </w:r>
            <w:proofErr w:type="spellEnd"/>
            <w:r w:rsidRPr="003E3C17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 xml:space="preserve">, </w:t>
            </w:r>
            <w:proofErr w:type="spellStart"/>
            <w:r w:rsidRPr="003E3C17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>rFRB</w:t>
            </w:r>
            <w:proofErr w:type="spellEnd"/>
            <w:r w:rsidRPr="003E3C17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 xml:space="preserve">, </w:t>
            </w:r>
            <w:proofErr w:type="spellStart"/>
            <w:r w:rsidRPr="003E3C17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>cFRB</w:t>
            </w:r>
            <w:proofErr w:type="spellEnd"/>
          </w:p>
        </w:tc>
      </w:tr>
      <w:tr w:rsidR="00534F2D" w:rsidRPr="00FF38D7" w14:paraId="0E0CC8E6" w14:textId="299CA698" w:rsidTr="00534F2D">
        <w:trPr>
          <w:trHeight w:val="29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F756F31" w14:textId="229B816D" w:rsidR="00534F2D" w:rsidRPr="00FF38D7" w:rsidRDefault="00534F2D" w:rsidP="00FF38D7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F38D7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GIS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5FA21" w14:textId="79FE64FE" w:rsidR="00534F2D" w:rsidRPr="00FF38D7" w:rsidRDefault="00534F2D" w:rsidP="00FF38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>GIS Files:  Public Lands (</w:t>
            </w:r>
            <w:proofErr w:type="spellStart"/>
            <w:r w:rsidRPr="00FF38D7">
              <w:rPr>
                <w:rFonts w:eastAsia="Times New Roman" w:cstheme="minorHAnsi"/>
                <w:color w:val="000000"/>
                <w:sz w:val="20"/>
                <w:szCs w:val="20"/>
                <w:highlight w:val="green"/>
              </w:rPr>
              <w:t>aPublic</w:t>
            </w:r>
            <w:proofErr w:type="spellEnd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>) + Private Lands (</w:t>
            </w:r>
            <w:proofErr w:type="spellStart"/>
            <w:r w:rsidRPr="00FF38D7">
              <w:rPr>
                <w:rFonts w:eastAsia="Times New Roman" w:cstheme="minorHAnsi"/>
                <w:color w:val="000000"/>
                <w:sz w:val="20"/>
                <w:szCs w:val="20"/>
                <w:highlight w:val="green"/>
              </w:rPr>
              <w:t>aPrivate</w:t>
            </w:r>
            <w:proofErr w:type="spellEnd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>) + Buyout Properties (</w:t>
            </w:r>
            <w:proofErr w:type="spellStart"/>
            <w:r w:rsidRPr="00FF38D7">
              <w:rPr>
                <w:rFonts w:eastAsia="Times New Roman" w:cstheme="minorHAnsi"/>
                <w:color w:val="000000"/>
                <w:sz w:val="20"/>
                <w:szCs w:val="20"/>
                <w:highlight w:val="green"/>
              </w:rPr>
              <w:t>aDR</w:t>
            </w:r>
            <w:proofErr w:type="spellEnd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9AF6F" w14:textId="5952DD94" w:rsidR="00534F2D" w:rsidRPr="00FF38D7" w:rsidRDefault="00534F2D" w:rsidP="00FF38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>GIS Files: Buyout Properties (</w:t>
            </w:r>
            <w:proofErr w:type="spellStart"/>
            <w:r w:rsidRPr="00FF38D7">
              <w:rPr>
                <w:rFonts w:eastAsia="Times New Roman" w:cstheme="minorHAnsi"/>
                <w:color w:val="000000"/>
                <w:sz w:val="20"/>
                <w:szCs w:val="20"/>
                <w:highlight w:val="green"/>
              </w:rPr>
              <w:t>aDR</w:t>
            </w:r>
            <w:proofErr w:type="spellEnd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C2172" w14:textId="73CB155A" w:rsidR="00534F2D" w:rsidRPr="00FF38D7" w:rsidRDefault="00534F2D" w:rsidP="00FF38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>GIS Files: Rare &amp; Endangered Species (</w:t>
            </w:r>
            <w:proofErr w:type="spellStart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>aNFOS</w:t>
            </w:r>
            <w:proofErr w:type="spellEnd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BF060" w14:textId="59994744" w:rsidR="00534F2D" w:rsidRPr="00FF38D7" w:rsidRDefault="00534F2D" w:rsidP="00FF38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>Freeboard Amount (FRB) (Presume 2 feet)</w:t>
            </w:r>
          </w:p>
        </w:tc>
      </w:tr>
      <w:tr w:rsidR="00534F2D" w:rsidRPr="00FF38D7" w14:paraId="3D6AB592" w14:textId="6BA6F8D0" w:rsidTr="00534F2D">
        <w:trPr>
          <w:trHeight w:val="290"/>
        </w:trPr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</w:tcPr>
          <w:p w14:paraId="6CBC5A50" w14:textId="77777777" w:rsidR="00762524" w:rsidRDefault="00762524" w:rsidP="00FF38D7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3ADA2ECC" w14:textId="6D3A58E0" w:rsidR="00762524" w:rsidRDefault="00762524" w:rsidP="00FF38D7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Impact Adjust-</w:t>
            </w:r>
            <w:proofErr w:type="spellStart"/>
            <w:r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ments</w:t>
            </w:r>
            <w:proofErr w:type="spellEnd"/>
          </w:p>
          <w:p w14:paraId="0867CA15" w14:textId="77777777" w:rsidR="00762524" w:rsidRDefault="00762524" w:rsidP="00FF38D7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368F68C5" w14:textId="5F422A90" w:rsidR="00534F2D" w:rsidRPr="00FF38D7" w:rsidRDefault="00534F2D" w:rsidP="00FF38D7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F38D7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Ratios to SFHA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3352CF" w14:textId="47377BA6" w:rsidR="00534F2D" w:rsidRPr="00FF38D7" w:rsidRDefault="00534F2D" w:rsidP="00FF38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F38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yellow"/>
              </w:rPr>
              <w:t>aOSP</w:t>
            </w:r>
            <w:proofErr w:type="spellEnd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total area of parcels that qualify for OSP credit</w:t>
            </w:r>
          </w:p>
          <w:p w14:paraId="7A89F461" w14:textId="77777777" w:rsidR="00534F2D" w:rsidRPr="00FF38D7" w:rsidRDefault="00534F2D" w:rsidP="00FF38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696740D2" w14:textId="0898D8B4" w:rsidR="00534F2D" w:rsidRPr="00FF38D7" w:rsidRDefault="00534F2D" w:rsidP="00FF38D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FF38D7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rOSP</w:t>
            </w:r>
            <w:proofErr w:type="spellEnd"/>
            <w:r w:rsidRPr="00FF38D7">
              <w:rPr>
                <w:rFonts w:cstheme="minorHAnsi"/>
                <w:sz w:val="20"/>
                <w:szCs w:val="20"/>
              </w:rPr>
              <w:t xml:space="preserve"> = </w:t>
            </w:r>
            <w:proofErr w:type="spellStart"/>
            <w:r w:rsidRPr="00FF38D7">
              <w:rPr>
                <w:rFonts w:cstheme="minorHAnsi"/>
                <w:sz w:val="20"/>
                <w:szCs w:val="20"/>
              </w:rPr>
              <w:t>aOSP</w:t>
            </w:r>
            <w:proofErr w:type="spellEnd"/>
            <w:r w:rsidRPr="00FF38D7">
              <w:rPr>
                <w:rFonts w:cstheme="minorHAnsi"/>
                <w:sz w:val="20"/>
                <w:szCs w:val="20"/>
              </w:rPr>
              <w:t xml:space="preserve"> / </w:t>
            </w:r>
            <w:proofErr w:type="spellStart"/>
            <w:r w:rsidRPr="00FF38D7">
              <w:rPr>
                <w:rFonts w:cstheme="minorHAnsi"/>
                <w:sz w:val="20"/>
                <w:szCs w:val="20"/>
              </w:rPr>
              <w:t>aSFHA</w:t>
            </w:r>
            <w:proofErr w:type="spellEnd"/>
            <w:r w:rsidRPr="00FF38D7">
              <w:rPr>
                <w:rFonts w:cstheme="minorHAnsi"/>
                <w:sz w:val="20"/>
                <w:szCs w:val="20"/>
              </w:rPr>
              <w:t xml:space="preserve">, where </w:t>
            </w:r>
            <w:proofErr w:type="spellStart"/>
            <w:r w:rsidRPr="00FF38D7">
              <w:rPr>
                <w:rFonts w:cstheme="minorHAnsi"/>
                <w:sz w:val="20"/>
                <w:szCs w:val="20"/>
              </w:rPr>
              <w:t>aOSP</w:t>
            </w:r>
            <w:proofErr w:type="spellEnd"/>
            <w:r w:rsidRPr="00FF38D7">
              <w:rPr>
                <w:rFonts w:cstheme="minorHAnsi"/>
                <w:sz w:val="20"/>
                <w:szCs w:val="20"/>
              </w:rPr>
              <w:t xml:space="preserve"> = the size of the area(s) preserved as open space (OSP) in the regulatory floodplain, and </w:t>
            </w:r>
            <w:proofErr w:type="spellStart"/>
            <w:r w:rsidRPr="00FF38D7">
              <w:rPr>
                <w:rFonts w:cstheme="minorHAnsi"/>
                <w:sz w:val="20"/>
                <w:szCs w:val="20"/>
              </w:rPr>
              <w:t>aSFHA</w:t>
            </w:r>
            <w:proofErr w:type="spellEnd"/>
            <w:r w:rsidRPr="00FF38D7">
              <w:rPr>
                <w:rFonts w:cstheme="minorHAnsi"/>
                <w:sz w:val="20"/>
                <w:szCs w:val="20"/>
              </w:rPr>
              <w:t xml:space="preserve"> = the size of the community’s SFHA shown on its FIRM</w:t>
            </w:r>
          </w:p>
          <w:p w14:paraId="6A220E21" w14:textId="77777777" w:rsidR="00534F2D" w:rsidRPr="00FF38D7" w:rsidRDefault="00534F2D" w:rsidP="00FF38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5ED72CA0" w14:textId="068652C5" w:rsidR="00534F2D" w:rsidRPr="00507D2A" w:rsidRDefault="00534F2D" w:rsidP="00FF38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701837" w14:textId="77777777" w:rsidR="00534F2D" w:rsidRPr="00FF38D7" w:rsidRDefault="00534F2D" w:rsidP="00FF38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F38D7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rDR</w:t>
            </w:r>
            <w:proofErr w:type="spellEnd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= </w:t>
            </w:r>
            <w:proofErr w:type="spellStart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>aDR</w:t>
            </w:r>
            <w:proofErr w:type="spellEnd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/ </w:t>
            </w:r>
            <w:proofErr w:type="spellStart"/>
            <w:proofErr w:type="gramStart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>aSFHA</w:t>
            </w:r>
            <w:proofErr w:type="spellEnd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where </w:t>
            </w:r>
            <w:proofErr w:type="spellStart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>aDR</w:t>
            </w:r>
            <w:proofErr w:type="spellEnd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= the size of the area(s) that qualify for deed restriction credit (DR), and </w:t>
            </w:r>
            <w:proofErr w:type="spellStart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>aSFHA</w:t>
            </w:r>
            <w:proofErr w:type="spellEnd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= the size of the community’s SFHA shown on its FIRM </w:t>
            </w:r>
            <w:proofErr w:type="spellStart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>rDR</w:t>
            </w:r>
            <w:proofErr w:type="spellEnd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cannot be greater than </w:t>
            </w:r>
            <w:proofErr w:type="spellStart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>rOSP</w:t>
            </w:r>
            <w:proofErr w:type="spellEnd"/>
          </w:p>
          <w:p w14:paraId="1FD343D5" w14:textId="2BB0B4A8" w:rsidR="00534F2D" w:rsidRPr="00FF38D7" w:rsidRDefault="00534F2D" w:rsidP="00FF38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</w:p>
          <w:p w14:paraId="226DB0EC" w14:textId="77777777" w:rsidR="00534F2D" w:rsidRPr="00FF38D7" w:rsidRDefault="00534F2D" w:rsidP="00FF38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14:paraId="7FD7D235" w14:textId="2C5DA6C3" w:rsidR="00534F2D" w:rsidRPr="00507D2A" w:rsidRDefault="00534F2D" w:rsidP="00FF38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5C9374" w14:textId="77777777" w:rsidR="00534F2D" w:rsidRPr="00FF38D7" w:rsidRDefault="00534F2D" w:rsidP="00FF38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F38D7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rNFOS</w:t>
            </w:r>
            <w:proofErr w:type="spellEnd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# = </w:t>
            </w:r>
            <w:proofErr w:type="spellStart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>aNFOS</w:t>
            </w:r>
            <w:proofErr w:type="spellEnd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# / </w:t>
            </w:r>
            <w:proofErr w:type="spellStart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>aSFHA</w:t>
            </w:r>
            <w:proofErr w:type="spellEnd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, where </w:t>
            </w:r>
            <w:proofErr w:type="spellStart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>aNFOS</w:t>
            </w:r>
            <w:proofErr w:type="spellEnd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# = the size of the area(s) that qualifies for NFOS credit (aNFOS1 is the area of all parcels that qualify for NFOS1 credit, etc.) and </w:t>
            </w:r>
            <w:proofErr w:type="spellStart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>aSFHA</w:t>
            </w:r>
            <w:proofErr w:type="spellEnd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= the size of the community’s SFHA shown on its FIRM </w:t>
            </w:r>
            <w:proofErr w:type="spellStart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>rNFOS</w:t>
            </w:r>
            <w:proofErr w:type="spellEnd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# cannot be greater than </w:t>
            </w:r>
            <w:proofErr w:type="spellStart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>rOSP</w:t>
            </w:r>
            <w:proofErr w:type="spellEnd"/>
          </w:p>
          <w:p w14:paraId="0DF87670" w14:textId="77777777" w:rsidR="00534F2D" w:rsidRPr="00FF38D7" w:rsidRDefault="00534F2D" w:rsidP="00FF38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74A6DDAE" w14:textId="77777777" w:rsidR="00534F2D" w:rsidRPr="00FF38D7" w:rsidRDefault="00534F2D" w:rsidP="00FF38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14:paraId="15A84487" w14:textId="15919B1D" w:rsidR="00534F2D" w:rsidRPr="00507D2A" w:rsidRDefault="00534F2D" w:rsidP="00FF38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1B86EA" w14:textId="58A82201" w:rsidR="00534F2D" w:rsidRPr="00FF38D7" w:rsidRDefault="00534F2D" w:rsidP="00FF38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>Freeboard (</w:t>
            </w:r>
            <w:r w:rsidRPr="00FF38D7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FRB</w:t>
            </w:r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>) = 2 feet</w:t>
            </w:r>
          </w:p>
          <w:p w14:paraId="23136826" w14:textId="77777777" w:rsidR="00534F2D" w:rsidRPr="00FF38D7" w:rsidRDefault="00534F2D" w:rsidP="00FF38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>Freeboard_Points</w:t>
            </w:r>
            <w:proofErr w:type="spellEnd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= 225</w:t>
            </w:r>
          </w:p>
          <w:p w14:paraId="3A8F2E11" w14:textId="77777777" w:rsidR="00534F2D" w:rsidRPr="00FF38D7" w:rsidRDefault="00534F2D" w:rsidP="00FF38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21E72379" w14:textId="77777777" w:rsidR="00534F2D" w:rsidRPr="00FF38D7" w:rsidRDefault="00534F2D" w:rsidP="00FF38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F38D7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aFRB</w:t>
            </w:r>
            <w:proofErr w:type="spellEnd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= </w:t>
            </w:r>
            <w:proofErr w:type="spellStart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>aSFHA</w:t>
            </w:r>
            <w:proofErr w:type="spellEnd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>aOSP</w:t>
            </w:r>
            <w:proofErr w:type="spellEnd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  <w:p w14:paraId="3B489A4C" w14:textId="77777777" w:rsidR="00534F2D" w:rsidRPr="00FF38D7" w:rsidRDefault="00534F2D" w:rsidP="00FF38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F38D7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rFRB</w:t>
            </w:r>
            <w:proofErr w:type="spellEnd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= </w:t>
            </w:r>
            <w:proofErr w:type="spellStart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>aFRB</w:t>
            </w:r>
            <w:proofErr w:type="spellEnd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>aSFHA</w:t>
            </w:r>
            <w:proofErr w:type="spellEnd"/>
          </w:p>
          <w:p w14:paraId="6B541812" w14:textId="180281A6" w:rsidR="00534F2D" w:rsidRPr="00FF38D7" w:rsidRDefault="00534F2D" w:rsidP="00FF38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33348E9A" w14:textId="08ABC084" w:rsidR="00534F2D" w:rsidRPr="00FF38D7" w:rsidRDefault="00534F2D" w:rsidP="00FF38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>aFRB</w:t>
            </w:r>
            <w:proofErr w:type="spellEnd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= the size of the area(s) that qualify for FRB credit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aSFHA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minus the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a</w:t>
            </w:r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>OSP</w:t>
            </w:r>
            <w:proofErr w:type="spellEnd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under Activity 420 (Open Space Preservation)</w:t>
            </w:r>
          </w:p>
          <w:p w14:paraId="73599986" w14:textId="543101CF" w:rsidR="00534F2D" w:rsidRPr="00507D2A" w:rsidRDefault="00534F2D" w:rsidP="00534F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34F2D" w:rsidRPr="00FF38D7" w14:paraId="6CD973B6" w14:textId="57113E44" w:rsidTr="00534F2D">
        <w:trPr>
          <w:trHeight w:val="369"/>
        </w:trPr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</w:tcPr>
          <w:p w14:paraId="11495A79" w14:textId="0A48DD32" w:rsidR="00534F2D" w:rsidRPr="00FF38D7" w:rsidRDefault="00534F2D" w:rsidP="0052480A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F38D7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CRS Credit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3BFD6E" w14:textId="4C6A7CA0" w:rsidR="00534F2D" w:rsidRPr="00FF38D7" w:rsidRDefault="00534F2D" w:rsidP="005248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FF38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yellow"/>
              </w:rPr>
              <w:t>cOSP</w:t>
            </w:r>
            <w:proofErr w:type="spellEnd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= </w:t>
            </w:r>
            <w:proofErr w:type="spellStart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>rOSP</w:t>
            </w:r>
            <w:proofErr w:type="spellEnd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x 1450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761F07" w14:textId="2C3BDEC4" w:rsidR="00534F2D" w:rsidRPr="00FF38D7" w:rsidRDefault="00534F2D" w:rsidP="005248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FF38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yellow"/>
              </w:rPr>
              <w:t>cDR</w:t>
            </w:r>
            <w:proofErr w:type="spellEnd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= </w:t>
            </w:r>
            <w:proofErr w:type="spellStart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>rDR</w:t>
            </w:r>
            <w:proofErr w:type="spellEnd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x 50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9146FB" w14:textId="529084EE" w:rsidR="004507AB" w:rsidRPr="00FF38D7" w:rsidRDefault="004507AB" w:rsidP="005248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FF38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yellow"/>
              </w:rPr>
              <w:t>cNFOS</w:t>
            </w:r>
            <w:proofErr w:type="spellEnd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=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(</w:t>
            </w:r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>rNFOS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x </w:t>
            </w:r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>190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+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(</w:t>
            </w:r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>rNFOS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x </w:t>
            </w:r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5CDEBB" w14:textId="74DFE53E" w:rsidR="00534F2D" w:rsidRPr="00FF38D7" w:rsidRDefault="00534F2D" w:rsidP="005248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5248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yellow"/>
              </w:rPr>
              <w:t>cFRB</w:t>
            </w:r>
            <w:proofErr w:type="spellEnd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= </w:t>
            </w:r>
            <w:proofErr w:type="spellStart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>rFRB</w:t>
            </w:r>
            <w:proofErr w:type="spellEnd"/>
            <w:r w:rsidRPr="00FF38D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* 225</w:t>
            </w:r>
          </w:p>
        </w:tc>
      </w:tr>
      <w:tr w:rsidR="00534F2D" w:rsidRPr="00FF38D7" w14:paraId="3CED9460" w14:textId="38F56307" w:rsidTr="00534F2D">
        <w:trPr>
          <w:trHeight w:val="29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CB2D40F" w14:textId="5E6E694B" w:rsidR="00534F2D" w:rsidRPr="00FF38D7" w:rsidRDefault="00534F2D" w:rsidP="0052480A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F38D7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CRS Reference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01CBD" w14:textId="4620A04F" w:rsidR="00534F2D" w:rsidRPr="00FF38D7" w:rsidRDefault="00534F2D" w:rsidP="0052480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F38D7">
              <w:rPr>
                <w:rFonts w:cstheme="minorHAnsi"/>
                <w:sz w:val="20"/>
                <w:szCs w:val="20"/>
              </w:rPr>
              <w:t>OSP: CRS Manual 2017, 422.a, page 420-3</w:t>
            </w:r>
          </w:p>
          <w:p w14:paraId="14EB9B69" w14:textId="77777777" w:rsidR="00534F2D" w:rsidRPr="00FF38D7" w:rsidRDefault="00534F2D" w:rsidP="005248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E8C59" w14:textId="77777777" w:rsidR="00534F2D" w:rsidRPr="00FF38D7" w:rsidRDefault="00534F2D" w:rsidP="0052480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F38D7">
              <w:rPr>
                <w:rFonts w:cstheme="minorHAnsi"/>
                <w:sz w:val="20"/>
                <w:szCs w:val="20"/>
              </w:rPr>
              <w:t>DR: CRS Manual 2017, 422.b, page 420-12</w:t>
            </w:r>
          </w:p>
          <w:p w14:paraId="2DB5B5A1" w14:textId="77777777" w:rsidR="00534F2D" w:rsidRPr="00FF38D7" w:rsidRDefault="00534F2D" w:rsidP="005248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ED636" w14:textId="77777777" w:rsidR="00534F2D" w:rsidRPr="00FF38D7" w:rsidRDefault="00534F2D" w:rsidP="0052480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F38D7">
              <w:rPr>
                <w:rFonts w:cstheme="minorHAnsi"/>
                <w:sz w:val="20"/>
                <w:szCs w:val="20"/>
              </w:rPr>
              <w:t>NFOS: CRS Manual 2017, 422.c, page 420-14</w:t>
            </w:r>
          </w:p>
          <w:p w14:paraId="2F05BAF4" w14:textId="77777777" w:rsidR="00534F2D" w:rsidRPr="00FF38D7" w:rsidRDefault="00534F2D" w:rsidP="005248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26406" w14:textId="77777777" w:rsidR="00534F2D" w:rsidRPr="00FF38D7" w:rsidRDefault="00534F2D" w:rsidP="0052480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F38D7">
              <w:rPr>
                <w:rFonts w:cstheme="minorHAnsi"/>
                <w:sz w:val="20"/>
                <w:szCs w:val="20"/>
              </w:rPr>
              <w:t>FRB: CRS 2017, 432.b, page 430-11</w:t>
            </w:r>
          </w:p>
          <w:p w14:paraId="09E1F7D6" w14:textId="77777777" w:rsidR="00534F2D" w:rsidRPr="00FF38D7" w:rsidRDefault="00534F2D" w:rsidP="005248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bookmarkEnd w:id="0"/>
    </w:tbl>
    <w:p w14:paraId="690E1E2E" w14:textId="44E3932D" w:rsidR="003E3C17" w:rsidRDefault="003E3C17" w:rsidP="00534F2D"/>
    <w:p w14:paraId="69920807" w14:textId="77777777" w:rsidR="003E3C17" w:rsidRDefault="003E3C17">
      <w:r>
        <w:br w:type="page"/>
      </w:r>
    </w:p>
    <w:p w14:paraId="0F21AF78" w14:textId="267E1A8E" w:rsidR="003E3C17" w:rsidRDefault="003E3C17" w:rsidP="003E3C17">
      <w:pPr>
        <w:ind w:left="-450"/>
        <w:jc w:val="both"/>
      </w:pPr>
      <w:r>
        <w:lastRenderedPageBreak/>
        <w:t xml:space="preserve">Table 2.  CRS 520 Activity Credit for </w:t>
      </w:r>
      <w:r w:rsidRPr="003E3C17">
        <w:rPr>
          <w:b/>
          <w:bCs/>
        </w:rPr>
        <w:t>B</w:t>
      </w:r>
      <w:r w:rsidRPr="003E3C17">
        <w:rPr>
          <w:rFonts w:eastAsia="Times New Roman" w:cstheme="minorHAnsi"/>
          <w:b/>
          <w:bCs/>
          <w:color w:val="000000"/>
          <w:sz w:val="20"/>
          <w:szCs w:val="20"/>
        </w:rPr>
        <w:t>uilding Acquisition and Relocation</w:t>
      </w:r>
    </w:p>
    <w:tbl>
      <w:tblPr>
        <w:tblW w:w="10440" w:type="dxa"/>
        <w:tblInd w:w="-455" w:type="dxa"/>
        <w:tblLook w:val="04A0" w:firstRow="1" w:lastRow="0" w:firstColumn="1" w:lastColumn="0" w:noHBand="0" w:noVBand="1"/>
      </w:tblPr>
      <w:tblGrid>
        <w:gridCol w:w="1193"/>
        <w:gridCol w:w="9247"/>
      </w:tblGrid>
      <w:tr w:rsidR="003E3C17" w:rsidRPr="00FF38D7" w14:paraId="7BE0D999" w14:textId="77777777" w:rsidTr="00796244">
        <w:trPr>
          <w:trHeight w:val="320"/>
        </w:trPr>
        <w:tc>
          <w:tcPr>
            <w:tcW w:w="11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BB69940" w14:textId="77777777" w:rsidR="003E3C17" w:rsidRPr="00FF38D7" w:rsidRDefault="003E3C17" w:rsidP="00796244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F38D7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CRS</w:t>
            </w:r>
          </w:p>
        </w:tc>
        <w:tc>
          <w:tcPr>
            <w:tcW w:w="9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E6E6E6" w:fill="E6E6E6"/>
          </w:tcPr>
          <w:p w14:paraId="4721EF29" w14:textId="77777777" w:rsidR="003E3C17" w:rsidRPr="00FF38D7" w:rsidRDefault="003E3C17" w:rsidP="007962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07D2A">
              <w:rPr>
                <w:rFonts w:eastAsia="Times New Roman" w:cstheme="minorHAnsi"/>
                <w:sz w:val="20"/>
                <w:szCs w:val="20"/>
              </w:rPr>
              <w:t>CRS-523.b</w:t>
            </w:r>
          </w:p>
        </w:tc>
      </w:tr>
      <w:tr w:rsidR="003E3C17" w:rsidRPr="00FF5729" w14:paraId="29958528" w14:textId="77777777" w:rsidTr="00796244">
        <w:trPr>
          <w:trHeight w:val="125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C08BD63" w14:textId="77777777" w:rsidR="003E3C17" w:rsidRPr="00FF38D7" w:rsidRDefault="003E3C17" w:rsidP="00796244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F38D7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Activity</w:t>
            </w:r>
          </w:p>
        </w:tc>
        <w:tc>
          <w:tcPr>
            <w:tcW w:w="9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6567413" w14:textId="77777777" w:rsidR="003E3C17" w:rsidRDefault="003E3C17" w:rsidP="00796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07D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Number of Primary Buildings Acquired or Relocated in SFHA (</w:t>
            </w:r>
            <w:proofErr w:type="spellStart"/>
            <w:r w:rsidRPr="00507D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bAR</w:t>
            </w:r>
            <w:proofErr w:type="spellEnd"/>
            <w:r w:rsidRPr="00507D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)</w:t>
            </w:r>
            <w:r w:rsidRPr="00FF572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or</w:t>
            </w:r>
            <w:r w:rsidRPr="00507D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out of SFHA (</w:t>
            </w:r>
            <w:proofErr w:type="spellStart"/>
            <w:r w:rsidRPr="00507D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bARSF</w:t>
            </w:r>
            <w:proofErr w:type="spellEnd"/>
            <w:r w:rsidRPr="00507D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)</w:t>
            </w:r>
          </w:p>
          <w:p w14:paraId="6DAFF981" w14:textId="77777777" w:rsidR="003E3C17" w:rsidRDefault="003E3C17" w:rsidP="00796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1303CCC4" w14:textId="77777777" w:rsidR="003E3C17" w:rsidRPr="00D81090" w:rsidRDefault="003E3C17" w:rsidP="00796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81090">
              <w:rPr>
                <w:rFonts w:ascii="Calibri" w:eastAsia="Times New Roman" w:hAnsi="Calibri" w:cs="Calibri"/>
                <w:sz w:val="20"/>
                <w:szCs w:val="20"/>
              </w:rPr>
              <w:t>There are two options for calculating the total value for this activity. The first, Option 1, is easier to use, but is limited to 190 points. Option 2 allows for higher credit, but it favors communities that have cleared more than a small percentage of the buildings in their SFHA. Option 1 produces more credit for large communities or for a community that has cleared a small percentage of properties within the regulatory floodplain.</w:t>
            </w:r>
          </w:p>
          <w:p w14:paraId="13D33B45" w14:textId="77777777" w:rsidR="003E3C17" w:rsidRPr="00FF5729" w:rsidRDefault="003E3C17" w:rsidP="007962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3E3C17" w:rsidRPr="00FF5729" w14:paraId="1DD2C2BF" w14:textId="77777777" w:rsidTr="00796244">
        <w:trPr>
          <w:trHeight w:val="29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822271F" w14:textId="77777777" w:rsidR="003E3C17" w:rsidRPr="00FF38D7" w:rsidRDefault="003E3C17" w:rsidP="00796244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F38D7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Report</w:t>
            </w:r>
          </w:p>
        </w:tc>
        <w:tc>
          <w:tcPr>
            <w:tcW w:w="9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3B711" w14:textId="52A88432" w:rsidR="003E3C17" w:rsidRPr="00FF5729" w:rsidRDefault="003E3C17" w:rsidP="0079624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3E3C17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>bAR</w:t>
            </w:r>
            <w:proofErr w:type="spellEnd"/>
            <w:r w:rsidRPr="003E3C17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 xml:space="preserve"> (</w:t>
            </w:r>
            <w:proofErr w:type="spellStart"/>
            <w:r w:rsidRPr="003E3C17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>bARSF</w:t>
            </w:r>
            <w:proofErr w:type="spellEnd"/>
            <w:r w:rsidRPr="003E3C17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 xml:space="preserve">), </w:t>
            </w:r>
            <w:proofErr w:type="spellStart"/>
            <w:r w:rsidRPr="003E3C17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>bRL</w:t>
            </w:r>
            <w:proofErr w:type="spellEnd"/>
            <w:r w:rsidRPr="003E3C17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 xml:space="preserve">, </w:t>
            </w:r>
            <w:proofErr w:type="spellStart"/>
            <w:r w:rsidRPr="003E3C17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>bSRL</w:t>
            </w:r>
            <w:proofErr w:type="spellEnd"/>
            <w:r w:rsidRPr="003E3C17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 xml:space="preserve">, </w:t>
            </w:r>
            <w:proofErr w:type="spellStart"/>
            <w:r w:rsidRPr="003E3C17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>bCF</w:t>
            </w:r>
            <w:proofErr w:type="spellEnd"/>
            <w:r w:rsidRPr="003E3C17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 xml:space="preserve">, </w:t>
            </w:r>
            <w:proofErr w:type="spellStart"/>
            <w:r w:rsidRPr="003E3C17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>rAR</w:t>
            </w:r>
            <w:proofErr w:type="spellEnd"/>
            <w:r w:rsidRPr="003E3C17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 xml:space="preserve">, </w:t>
            </w:r>
            <w:proofErr w:type="spellStart"/>
            <w:r w:rsidRPr="003E3C17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>bSF</w:t>
            </w:r>
            <w:proofErr w:type="spellEnd"/>
          </w:p>
        </w:tc>
      </w:tr>
      <w:tr w:rsidR="003E3C17" w:rsidRPr="00FF38D7" w14:paraId="1EAD6AF3" w14:textId="77777777" w:rsidTr="00796244">
        <w:trPr>
          <w:trHeight w:val="29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85DC60" w14:textId="77777777" w:rsidR="003E3C17" w:rsidRPr="00FF38D7" w:rsidRDefault="003E3C17" w:rsidP="00796244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F38D7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GIS</w:t>
            </w:r>
          </w:p>
        </w:tc>
        <w:tc>
          <w:tcPr>
            <w:tcW w:w="9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41CB0" w14:textId="77777777" w:rsidR="003E3C17" w:rsidRPr="00FF38D7" w:rsidRDefault="003E3C17" w:rsidP="0079624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D81090">
              <w:rPr>
                <w:rFonts w:eastAsia="Times New Roman" w:cstheme="minorHAnsi"/>
                <w:color w:val="000000"/>
                <w:sz w:val="20"/>
                <w:szCs w:val="20"/>
                <w:highlight w:val="green"/>
              </w:rPr>
              <w:t>bAR</w:t>
            </w:r>
            <w:proofErr w:type="spellEnd"/>
          </w:p>
        </w:tc>
      </w:tr>
      <w:tr w:rsidR="003E3C17" w:rsidRPr="00FF38D7" w14:paraId="6CD1A4DD" w14:textId="77777777" w:rsidTr="00796244">
        <w:trPr>
          <w:trHeight w:val="290"/>
        </w:trPr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</w:tcPr>
          <w:p w14:paraId="7DECAC0A" w14:textId="77777777" w:rsidR="003E3C17" w:rsidRPr="00FF38D7" w:rsidRDefault="003E3C17" w:rsidP="00796244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Credit Calculation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0EB93" w14:textId="77777777" w:rsidR="003E3C17" w:rsidRPr="003068D3" w:rsidRDefault="003E3C17" w:rsidP="0079624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3068D3">
              <w:rPr>
                <w:rFonts w:eastAsia="Times New Roman" w:cstheme="minorHAnsi"/>
                <w:color w:val="000000"/>
                <w:sz w:val="20"/>
                <w:szCs w:val="20"/>
              </w:rPr>
              <w:t>bSF</w:t>
            </w:r>
            <w:proofErr w:type="spellEnd"/>
            <w:r w:rsidRPr="003068D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= the number of buildings in the SFHA</w:t>
            </w:r>
            <w:r w:rsidRPr="003068D3">
              <w:rPr>
                <w:rFonts w:eastAsia="Times New Roman" w:cstheme="minorHAnsi"/>
                <w:color w:val="000000"/>
                <w:sz w:val="20"/>
                <w:szCs w:val="20"/>
              </w:rPr>
              <w:tab/>
            </w:r>
            <w:r w:rsidRPr="003068D3">
              <w:rPr>
                <w:rFonts w:eastAsia="Times New Roman" w:cstheme="minorHAnsi"/>
                <w:color w:val="000000"/>
                <w:sz w:val="20"/>
                <w:szCs w:val="20"/>
              </w:rPr>
              <w:tab/>
            </w:r>
          </w:p>
          <w:p w14:paraId="01AA4EA2" w14:textId="77777777" w:rsidR="003E3C17" w:rsidRPr="003068D3" w:rsidRDefault="003E3C17" w:rsidP="0079624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3068D3">
              <w:rPr>
                <w:rFonts w:eastAsia="Times New Roman" w:cstheme="minorHAnsi"/>
                <w:color w:val="000000"/>
                <w:sz w:val="20"/>
                <w:szCs w:val="20"/>
              </w:rPr>
              <w:t>bAR</w:t>
            </w:r>
            <w:proofErr w:type="spellEnd"/>
            <w:r w:rsidRPr="003068D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= # buildings acquired or relocated (</w:t>
            </w:r>
            <w:proofErr w:type="spellStart"/>
            <w:r w:rsidRPr="003068D3">
              <w:rPr>
                <w:rFonts w:eastAsia="Times New Roman" w:cstheme="minorHAnsi"/>
                <w:color w:val="000000"/>
                <w:sz w:val="20"/>
                <w:szCs w:val="20"/>
              </w:rPr>
              <w:t>bAR</w:t>
            </w:r>
            <w:proofErr w:type="spellEnd"/>
            <w:r w:rsidRPr="003068D3">
              <w:rPr>
                <w:rFonts w:eastAsia="Times New Roman" w:cstheme="minorHAnsi"/>
                <w:color w:val="000000"/>
                <w:sz w:val="20"/>
                <w:szCs w:val="20"/>
              </w:rPr>
              <w:t>) from the "regulatory floodplain" since FIRM effective date</w:t>
            </w:r>
          </w:p>
          <w:p w14:paraId="7D974370" w14:textId="77777777" w:rsidR="003E3C17" w:rsidRPr="003068D3" w:rsidRDefault="003E3C17" w:rsidP="0079624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3068D3">
              <w:rPr>
                <w:rFonts w:eastAsia="Times New Roman" w:cstheme="minorHAnsi"/>
                <w:color w:val="000000"/>
                <w:sz w:val="20"/>
                <w:szCs w:val="20"/>
              </w:rPr>
              <w:t>bARSF</w:t>
            </w:r>
            <w:proofErr w:type="spellEnd"/>
            <w:r w:rsidRPr="003068D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= the number of buildings acquired or relocated out of the SFHA.  Same as </w:t>
            </w:r>
            <w:proofErr w:type="spellStart"/>
            <w:r w:rsidRPr="003068D3">
              <w:rPr>
                <w:rFonts w:eastAsia="Times New Roman" w:cstheme="minorHAnsi"/>
                <w:color w:val="000000"/>
                <w:sz w:val="20"/>
                <w:szCs w:val="20"/>
              </w:rPr>
              <w:t>bAR</w:t>
            </w:r>
            <w:proofErr w:type="spellEnd"/>
            <w:r w:rsidRPr="003068D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for West Virginia.</w:t>
            </w:r>
          </w:p>
          <w:p w14:paraId="2F030E6F" w14:textId="77777777" w:rsidR="003E3C17" w:rsidRPr="003068D3" w:rsidRDefault="003E3C17" w:rsidP="0079624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3068D3">
              <w:rPr>
                <w:rFonts w:eastAsia="Times New Roman" w:cstheme="minorHAnsi"/>
                <w:color w:val="000000"/>
                <w:sz w:val="20"/>
                <w:szCs w:val="20"/>
              </w:rPr>
              <w:t>bRL</w:t>
            </w:r>
            <w:proofErr w:type="spellEnd"/>
            <w:r w:rsidRPr="003068D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= Repetitive Loss </w:t>
            </w:r>
            <w:proofErr w:type="spellStart"/>
            <w:r w:rsidRPr="003068D3">
              <w:rPr>
                <w:rFonts w:eastAsia="Times New Roman" w:cstheme="minorHAnsi"/>
                <w:color w:val="000000"/>
                <w:sz w:val="20"/>
                <w:szCs w:val="20"/>
              </w:rPr>
              <w:t>propertiesn</w:t>
            </w:r>
            <w:proofErr w:type="spellEnd"/>
            <w:r w:rsidRPr="003068D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068D3">
              <w:rPr>
                <w:rFonts w:eastAsia="Times New Roman" w:cstheme="minorHAnsi"/>
                <w:color w:val="000000"/>
                <w:sz w:val="20"/>
                <w:szCs w:val="20"/>
              </w:rPr>
              <w:t>bRL</w:t>
            </w:r>
            <w:proofErr w:type="spellEnd"/>
            <w:r w:rsidRPr="003068D3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  <w:p w14:paraId="234D892D" w14:textId="77777777" w:rsidR="003E3C17" w:rsidRPr="003068D3" w:rsidRDefault="003E3C17" w:rsidP="0079624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3068D3">
              <w:rPr>
                <w:rFonts w:eastAsia="Times New Roman" w:cstheme="minorHAnsi"/>
                <w:color w:val="000000"/>
                <w:sz w:val="20"/>
                <w:szCs w:val="20"/>
              </w:rPr>
              <w:t>bSRL</w:t>
            </w:r>
            <w:proofErr w:type="spellEnd"/>
            <w:r w:rsidRPr="003068D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= Severe Repetitive Loss properties (</w:t>
            </w:r>
            <w:proofErr w:type="spellStart"/>
            <w:r w:rsidRPr="003068D3">
              <w:rPr>
                <w:rFonts w:eastAsia="Times New Roman" w:cstheme="minorHAnsi"/>
                <w:color w:val="000000"/>
                <w:sz w:val="20"/>
                <w:szCs w:val="20"/>
              </w:rPr>
              <w:t>bSRL</w:t>
            </w:r>
            <w:proofErr w:type="spellEnd"/>
            <w:r w:rsidRPr="003068D3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  <w:p w14:paraId="70943672" w14:textId="20B5838D" w:rsidR="003E3C17" w:rsidRPr="003068D3" w:rsidRDefault="003E3C17" w:rsidP="0079624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3068D3">
              <w:rPr>
                <w:rFonts w:eastAsia="Times New Roman" w:cstheme="minorHAnsi"/>
                <w:color w:val="000000"/>
                <w:sz w:val="20"/>
                <w:szCs w:val="20"/>
              </w:rPr>
              <w:t>bCF</w:t>
            </w:r>
            <w:proofErr w:type="spellEnd"/>
            <w:r w:rsidRPr="003068D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= Critical Facilities (</w:t>
            </w:r>
            <w:proofErr w:type="spellStart"/>
            <w:r w:rsidRPr="003068D3">
              <w:rPr>
                <w:rFonts w:eastAsia="Times New Roman" w:cstheme="minorHAnsi"/>
                <w:color w:val="000000"/>
                <w:sz w:val="20"/>
                <w:szCs w:val="20"/>
              </w:rPr>
              <w:t>bCF</w:t>
            </w:r>
            <w:proofErr w:type="spellEnd"/>
            <w:r w:rsidRPr="003068D3">
              <w:rPr>
                <w:rFonts w:eastAsia="Times New Roman" w:cstheme="minorHAnsi"/>
                <w:color w:val="000000"/>
                <w:sz w:val="20"/>
                <w:szCs w:val="20"/>
              </w:rPr>
              <w:t>) mapped to (500-year) regulatory floodplain</w:t>
            </w:r>
          </w:p>
          <w:p w14:paraId="00F9AEFA" w14:textId="77777777" w:rsidR="003E3C17" w:rsidRPr="003068D3" w:rsidRDefault="003E3C17" w:rsidP="0079624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3068D3">
              <w:rPr>
                <w:rFonts w:eastAsia="Times New Roman" w:cstheme="minorHAnsi"/>
                <w:color w:val="000000"/>
                <w:sz w:val="20"/>
                <w:szCs w:val="20"/>
              </w:rPr>
              <w:t>rAR</w:t>
            </w:r>
            <w:proofErr w:type="spellEnd"/>
            <w:r w:rsidRPr="003068D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= ratio of buildings acquired or relocated in SFHA to </w:t>
            </w:r>
            <w:proofErr w:type="spellStart"/>
            <w:r w:rsidRPr="003068D3">
              <w:rPr>
                <w:rFonts w:eastAsia="Times New Roman" w:cstheme="minorHAnsi"/>
                <w:color w:val="000000"/>
                <w:sz w:val="20"/>
                <w:szCs w:val="20"/>
              </w:rPr>
              <w:t>bSF</w:t>
            </w:r>
            <w:proofErr w:type="spellEnd"/>
          </w:p>
          <w:p w14:paraId="05BA4E2B" w14:textId="77777777" w:rsidR="003E3C17" w:rsidRPr="003068D3" w:rsidRDefault="003E3C17" w:rsidP="0079624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57557494" w14:textId="77777777" w:rsidR="003E3C17" w:rsidRPr="003068D3" w:rsidRDefault="003E3C17" w:rsidP="0079624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068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&lt;&lt; Option 1 (Maximum 190 points) &gt;&gt;</w:t>
            </w:r>
          </w:p>
          <w:p w14:paraId="04663682" w14:textId="77777777" w:rsidR="003E3C17" w:rsidRPr="003068D3" w:rsidRDefault="003E3C17" w:rsidP="0079624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068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yellow"/>
              </w:rPr>
              <w:t>c520-1</w:t>
            </w:r>
            <w:r w:rsidRPr="003068D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= (</w:t>
            </w:r>
            <w:proofErr w:type="spellStart"/>
            <w:r w:rsidRPr="003068D3">
              <w:rPr>
                <w:rFonts w:eastAsia="Times New Roman" w:cstheme="minorHAnsi"/>
                <w:color w:val="000000"/>
                <w:sz w:val="20"/>
                <w:szCs w:val="20"/>
              </w:rPr>
              <w:t>bAR</w:t>
            </w:r>
            <w:proofErr w:type="spellEnd"/>
            <w:r w:rsidRPr="003068D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x 3) + (</w:t>
            </w:r>
            <w:proofErr w:type="spellStart"/>
            <w:r w:rsidRPr="003068D3">
              <w:rPr>
                <w:rFonts w:eastAsia="Times New Roman" w:cstheme="minorHAnsi"/>
                <w:color w:val="000000"/>
                <w:sz w:val="20"/>
                <w:szCs w:val="20"/>
              </w:rPr>
              <w:t>bRL</w:t>
            </w:r>
            <w:proofErr w:type="spellEnd"/>
            <w:r w:rsidRPr="003068D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x 6) + (</w:t>
            </w:r>
            <w:proofErr w:type="spellStart"/>
            <w:r w:rsidRPr="003068D3">
              <w:rPr>
                <w:rFonts w:eastAsia="Times New Roman" w:cstheme="minorHAnsi"/>
                <w:color w:val="000000"/>
                <w:sz w:val="20"/>
                <w:szCs w:val="20"/>
              </w:rPr>
              <w:t>bSRL</w:t>
            </w:r>
            <w:proofErr w:type="spellEnd"/>
            <w:r w:rsidRPr="003068D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x 9) + (</w:t>
            </w:r>
            <w:proofErr w:type="spellStart"/>
            <w:r w:rsidRPr="003068D3">
              <w:rPr>
                <w:rFonts w:eastAsia="Times New Roman" w:cstheme="minorHAnsi"/>
                <w:color w:val="000000"/>
                <w:sz w:val="20"/>
                <w:szCs w:val="20"/>
              </w:rPr>
              <w:t>bCF</w:t>
            </w:r>
            <w:proofErr w:type="spellEnd"/>
            <w:r w:rsidRPr="003068D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x 6)</w:t>
            </w:r>
          </w:p>
          <w:p w14:paraId="6045BA32" w14:textId="77777777" w:rsidR="003E3C17" w:rsidRPr="003068D3" w:rsidRDefault="003E3C17" w:rsidP="0079624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6E04E701" w14:textId="66092424" w:rsidR="003E3C17" w:rsidRPr="003068D3" w:rsidRDefault="003E3C17" w:rsidP="0079624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068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&lt;&lt; Option 2 (Maximum </w:t>
            </w:r>
            <w:r w:rsidR="006B5D2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2,250</w:t>
            </w:r>
            <w:r w:rsidRPr="003068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points) &gt;&gt;</w:t>
            </w:r>
          </w:p>
          <w:p w14:paraId="4D1EFF35" w14:textId="77777777" w:rsidR="003E3C17" w:rsidRPr="003068D3" w:rsidRDefault="003E3C17" w:rsidP="0079624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3068D3">
              <w:rPr>
                <w:sz w:val="20"/>
                <w:szCs w:val="20"/>
              </w:rPr>
              <w:t>If the SFHA is cleared out, c520 = the maximum of 2,250 points. This is done in two steps:</w:t>
            </w:r>
          </w:p>
          <w:p w14:paraId="3931792F" w14:textId="77777777" w:rsidR="003E3C17" w:rsidRPr="003068D3" w:rsidRDefault="003E3C17" w:rsidP="0079624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3068D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Step 1 calculates the credit based on 1,900 points. Step 1 cannot exceed 1,900.</w:t>
            </w:r>
          </w:p>
          <w:p w14:paraId="3A02CD40" w14:textId="5ADC5AB4" w:rsidR="003E3C17" w:rsidRPr="003068D3" w:rsidRDefault="003E3C17" w:rsidP="0079624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3068D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Step 2 adds bonus points based on how much of the SFHA has been cleared out. Step 2 only applies if more than 30% of the buildings in the SFHA have been removed.</w:t>
            </w:r>
            <w:r w:rsidR="002C4A05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  Step 2 </w:t>
            </w:r>
            <w:r w:rsidR="00CD28A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cannot</w:t>
            </w:r>
            <w:r w:rsidR="002C4A05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 exceed 350 points.</w:t>
            </w:r>
          </w:p>
          <w:p w14:paraId="1888ED8A" w14:textId="77777777" w:rsidR="003E3C17" w:rsidRPr="003068D3" w:rsidRDefault="003E3C17" w:rsidP="0079624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3068D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c520 = the credit for Step 1 + the credit for Step 2</w:t>
            </w:r>
          </w:p>
          <w:p w14:paraId="580D8014" w14:textId="77777777" w:rsidR="003E3C17" w:rsidRPr="003068D3" w:rsidRDefault="003E3C17" w:rsidP="0079624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</w:p>
          <w:p w14:paraId="18F75AE8" w14:textId="77777777" w:rsidR="003E3C17" w:rsidRPr="00D6480B" w:rsidRDefault="003E3C17" w:rsidP="0079624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highlight w:val="cyan"/>
              </w:rPr>
            </w:pPr>
            <w:r w:rsidRPr="00D6480B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highlight w:val="cyan"/>
              </w:rPr>
              <w:t>Option 2, Step 1</w:t>
            </w:r>
          </w:p>
          <w:p w14:paraId="68246709" w14:textId="77777777" w:rsidR="00D6480B" w:rsidRPr="003068D3" w:rsidRDefault="00D6480B" w:rsidP="00D648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6480B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 xml:space="preserve">c520-2.1 = 1,900 x </w:t>
            </w:r>
            <w:r w:rsidRPr="00E0773E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>(</w:t>
            </w:r>
            <w:r w:rsidRPr="00D6480B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>(</w:t>
            </w:r>
            <w:proofErr w:type="spellStart"/>
            <w:r w:rsidRPr="00D6480B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>bAR</w:t>
            </w:r>
            <w:proofErr w:type="spellEnd"/>
            <w:r w:rsidRPr="00D6480B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 xml:space="preserve"> + (</w:t>
            </w:r>
            <w:proofErr w:type="spellStart"/>
            <w:r w:rsidRPr="00D6480B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>bRL</w:t>
            </w:r>
            <w:proofErr w:type="spellEnd"/>
            <w:r w:rsidRPr="00D6480B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 xml:space="preserve"> x 2) + (</w:t>
            </w:r>
            <w:proofErr w:type="spellStart"/>
            <w:r w:rsidRPr="00D6480B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>bSRL</w:t>
            </w:r>
            <w:proofErr w:type="spellEnd"/>
            <w:r w:rsidRPr="00D6480B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 xml:space="preserve"> x 3) + (</w:t>
            </w:r>
            <w:proofErr w:type="spellStart"/>
            <w:r w:rsidRPr="00D6480B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>bCF</w:t>
            </w:r>
            <w:proofErr w:type="spellEnd"/>
            <w:r w:rsidRPr="00D6480B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 xml:space="preserve"> x 2)) / (</w:t>
            </w:r>
            <w:proofErr w:type="spellStart"/>
            <w:r w:rsidRPr="00D6480B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>bSF</w:t>
            </w:r>
            <w:proofErr w:type="spellEnd"/>
            <w:r w:rsidRPr="00D6480B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 xml:space="preserve"> + </w:t>
            </w:r>
            <w:proofErr w:type="spellStart"/>
            <w:r w:rsidRPr="00D6480B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>bAR</w:t>
            </w:r>
            <w:proofErr w:type="spellEnd"/>
            <w:r w:rsidRPr="00D6480B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 xml:space="preserve"> + </w:t>
            </w:r>
            <w:proofErr w:type="spellStart"/>
            <w:r w:rsidRPr="00D6480B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>bRL</w:t>
            </w:r>
            <w:proofErr w:type="spellEnd"/>
            <w:r w:rsidRPr="00D6480B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 xml:space="preserve">+ </w:t>
            </w:r>
            <w:proofErr w:type="spellStart"/>
            <w:r w:rsidRPr="00D6480B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>bSRL</w:t>
            </w:r>
            <w:proofErr w:type="spellEnd"/>
            <w:r w:rsidRPr="00D6480B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 xml:space="preserve"> + </w:t>
            </w:r>
            <w:proofErr w:type="spellStart"/>
            <w:r w:rsidRPr="00D6480B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>bCF</w:t>
            </w:r>
            <w:proofErr w:type="spellEnd"/>
            <w:r w:rsidRPr="00D6480B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>)</w:t>
            </w:r>
            <w:r w:rsidRPr="00E0773E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>)</w:t>
            </w:r>
            <w:r w:rsidRPr="003068D3">
              <w:rPr>
                <w:rFonts w:eastAsia="Times New Roman" w:cstheme="minorHAnsi"/>
                <w:color w:val="000000"/>
                <w:sz w:val="20"/>
                <w:szCs w:val="20"/>
              </w:rPr>
              <w:tab/>
            </w:r>
          </w:p>
          <w:p w14:paraId="64672F60" w14:textId="736F628C" w:rsidR="003E3C17" w:rsidRPr="003068D3" w:rsidRDefault="003E3C17" w:rsidP="0079624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65915F72" w14:textId="77777777" w:rsidR="003E3C17" w:rsidRPr="003068D3" w:rsidRDefault="003E3C17" w:rsidP="0079624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150795FF" w14:textId="77777777" w:rsidR="003E3C17" w:rsidRPr="003068D3" w:rsidRDefault="003E3C17" w:rsidP="0079624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3068D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Option 2, Step 2 </w:t>
            </w:r>
          </w:p>
          <w:p w14:paraId="1287EA1B" w14:textId="77777777" w:rsidR="0066556C" w:rsidRDefault="003E3C17" w:rsidP="0079624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068D3">
              <w:rPr>
                <w:rFonts w:eastAsia="Times New Roman" w:cstheme="minorHAnsi"/>
                <w:color w:val="000000"/>
                <w:sz w:val="20"/>
                <w:szCs w:val="20"/>
              </w:rPr>
              <w:t>Applies if the community has acquired or relocated more than 30% of the buildings in its current SFHA, or</w:t>
            </w:r>
            <w:r w:rsidR="0066556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  <w:p w14:paraId="50B3FC7C" w14:textId="5AE3799D" w:rsidR="00B61192" w:rsidRDefault="00B61192" w:rsidP="0079624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4221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rAR</w:t>
            </w:r>
            <w:proofErr w:type="spellEnd"/>
            <w:r w:rsidRPr="0014221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14221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bAR</w:t>
            </w:r>
            <w:proofErr w:type="spellEnd"/>
            <w:r w:rsidRPr="0014221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/ (</w:t>
            </w:r>
            <w:proofErr w:type="spellStart"/>
            <w:r w:rsidRPr="0014221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bSF</w:t>
            </w:r>
            <w:proofErr w:type="spellEnd"/>
            <w:r w:rsidRPr="0014221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14221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bAR</w:t>
            </w:r>
            <w:proofErr w:type="spellEnd"/>
            <w:r w:rsidRPr="0014221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)</w:t>
            </w:r>
          </w:p>
          <w:p w14:paraId="5F121B98" w14:textId="54836B30" w:rsidR="003E3C17" w:rsidRPr="00B61192" w:rsidRDefault="003E3C17" w:rsidP="0079624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068D3">
              <w:rPr>
                <w:rFonts w:eastAsia="Times New Roman" w:cstheme="minorHAnsi"/>
                <w:color w:val="000000"/>
                <w:sz w:val="20"/>
                <w:szCs w:val="20"/>
              </w:rPr>
              <w:t>Each building is only counted once; no extra credit.</w:t>
            </w:r>
          </w:p>
          <w:p w14:paraId="7CD48777" w14:textId="77777777" w:rsidR="0075516F" w:rsidRPr="0075516F" w:rsidRDefault="0075516F" w:rsidP="0079624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  <w:p w14:paraId="10AD64BC" w14:textId="77777777" w:rsidR="00D6480B" w:rsidRPr="00142210" w:rsidRDefault="00D6480B" w:rsidP="00D648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6480B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 xml:space="preserve">If </w:t>
            </w:r>
            <w:proofErr w:type="spellStart"/>
            <w:r w:rsidRPr="00D6480B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>rAR</w:t>
            </w:r>
            <w:proofErr w:type="spellEnd"/>
            <w:r w:rsidRPr="00D6480B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 xml:space="preserve"> &gt; 30% then c520-2.2 = (((</w:t>
            </w:r>
            <w:proofErr w:type="spellStart"/>
            <w:r w:rsidRPr="00D6480B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>bAR</w:t>
            </w:r>
            <w:proofErr w:type="spellEnd"/>
            <w:r w:rsidRPr="00D6480B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 xml:space="preserve"> x 100) / (</w:t>
            </w:r>
            <w:proofErr w:type="spellStart"/>
            <w:r w:rsidRPr="00D6480B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>bSF</w:t>
            </w:r>
            <w:proofErr w:type="spellEnd"/>
            <w:r w:rsidRPr="00D6480B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 xml:space="preserve"> + </w:t>
            </w:r>
            <w:proofErr w:type="spellStart"/>
            <w:r w:rsidRPr="00D6480B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>bAR</w:t>
            </w:r>
            <w:proofErr w:type="spellEnd"/>
            <w:r w:rsidRPr="00D6480B">
              <w:rPr>
                <w:rFonts w:eastAsia="Times New Roman" w:cstheme="minorHAnsi"/>
                <w:color w:val="000000"/>
                <w:sz w:val="20"/>
                <w:szCs w:val="20"/>
                <w:highlight w:val="cyan"/>
              </w:rPr>
              <w:t>)) – 30) x 5</w:t>
            </w:r>
            <w:r w:rsidRPr="0014221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  <w:p w14:paraId="24B207C7" w14:textId="7932EDA1" w:rsidR="003E3C17" w:rsidRDefault="00E0773E" w:rsidP="0079624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rAR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&lt;= 30% then c520-2.2 = 0</w:t>
            </w:r>
          </w:p>
          <w:p w14:paraId="625D7547" w14:textId="77777777" w:rsidR="00E0773E" w:rsidRPr="003068D3" w:rsidRDefault="00E0773E" w:rsidP="0079624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5CE1218D" w14:textId="77777777" w:rsidR="003E3C17" w:rsidRPr="003068D3" w:rsidRDefault="003E3C17" w:rsidP="0079624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068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yellow"/>
              </w:rPr>
              <w:t>c520-2</w:t>
            </w:r>
            <w:r w:rsidRPr="003068D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= c520-2.1 + c520-2.2</w:t>
            </w:r>
          </w:p>
          <w:p w14:paraId="4583D00F" w14:textId="77777777" w:rsidR="003E3C17" w:rsidRPr="003068D3" w:rsidRDefault="003E3C17" w:rsidP="0079624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3E3C17" w:rsidRPr="00FF38D7" w14:paraId="3A261EAD" w14:textId="77777777" w:rsidTr="00796244">
        <w:trPr>
          <w:trHeight w:val="369"/>
        </w:trPr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</w:tcPr>
          <w:p w14:paraId="41AEB52F" w14:textId="77777777" w:rsidR="003E3C17" w:rsidRPr="00FF38D7" w:rsidRDefault="003E3C17" w:rsidP="00796244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F38D7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CRS Credit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69B280" w14:textId="77777777" w:rsidR="003E3C17" w:rsidRDefault="003E3C17" w:rsidP="0079624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8109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yellow"/>
              </w:rPr>
              <w:t>c520-1</w:t>
            </w:r>
            <w:r w:rsidRPr="00D810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= (</w:t>
            </w:r>
            <w:proofErr w:type="spellStart"/>
            <w:r w:rsidRPr="00D81090">
              <w:rPr>
                <w:rFonts w:eastAsia="Times New Roman" w:cstheme="minorHAnsi"/>
                <w:color w:val="000000"/>
                <w:sz w:val="20"/>
                <w:szCs w:val="20"/>
              </w:rPr>
              <w:t>bAR</w:t>
            </w:r>
            <w:proofErr w:type="spellEnd"/>
            <w:r w:rsidRPr="00D810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x 3) + (</w:t>
            </w:r>
            <w:proofErr w:type="spellStart"/>
            <w:r w:rsidRPr="00D81090">
              <w:rPr>
                <w:rFonts w:eastAsia="Times New Roman" w:cstheme="minorHAnsi"/>
                <w:color w:val="000000"/>
                <w:sz w:val="20"/>
                <w:szCs w:val="20"/>
              </w:rPr>
              <w:t>bRL</w:t>
            </w:r>
            <w:proofErr w:type="spellEnd"/>
            <w:r w:rsidRPr="00D810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x 6) + (</w:t>
            </w:r>
            <w:proofErr w:type="spellStart"/>
            <w:r w:rsidRPr="00D81090">
              <w:rPr>
                <w:rFonts w:eastAsia="Times New Roman" w:cstheme="minorHAnsi"/>
                <w:color w:val="000000"/>
                <w:sz w:val="20"/>
                <w:szCs w:val="20"/>
              </w:rPr>
              <w:t>bSRL</w:t>
            </w:r>
            <w:proofErr w:type="spellEnd"/>
            <w:r w:rsidRPr="00D810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x 9) + (</w:t>
            </w:r>
            <w:proofErr w:type="spellStart"/>
            <w:r w:rsidRPr="00D81090">
              <w:rPr>
                <w:rFonts w:eastAsia="Times New Roman" w:cstheme="minorHAnsi"/>
                <w:color w:val="000000"/>
                <w:sz w:val="20"/>
                <w:szCs w:val="20"/>
              </w:rPr>
              <w:t>bCF</w:t>
            </w:r>
            <w:proofErr w:type="spellEnd"/>
            <w:r w:rsidRPr="00D810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x 6)</w:t>
            </w:r>
          </w:p>
          <w:p w14:paraId="7FF1BDF3" w14:textId="77777777" w:rsidR="003E3C17" w:rsidRDefault="003E3C17" w:rsidP="0079624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7811113B" w14:textId="77777777" w:rsidR="003E3C17" w:rsidRPr="00D81090" w:rsidRDefault="003E3C17" w:rsidP="0079624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8109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yellow"/>
              </w:rPr>
              <w:t>c520-2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= c520-2.1 + c520-2.2</w:t>
            </w:r>
          </w:p>
          <w:p w14:paraId="41CEEB4F" w14:textId="77777777" w:rsidR="003E3C17" w:rsidRPr="00FF38D7" w:rsidRDefault="003E3C17" w:rsidP="0079624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3E3C17" w:rsidRPr="00FF38D7" w14:paraId="1604A242" w14:textId="77777777" w:rsidTr="002E7C02">
        <w:trPr>
          <w:trHeight w:val="342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37398AE" w14:textId="77777777" w:rsidR="003E3C17" w:rsidRPr="00FF38D7" w:rsidRDefault="003E3C17" w:rsidP="00796244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F38D7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CRS Reference</w:t>
            </w:r>
          </w:p>
        </w:tc>
        <w:tc>
          <w:tcPr>
            <w:tcW w:w="9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53023" w14:textId="67B1F2F8" w:rsidR="003E3C17" w:rsidRPr="003E3C17" w:rsidRDefault="003E3C17" w:rsidP="00796244">
            <w:pPr>
              <w:rPr>
                <w:rFonts w:cstheme="minorHAnsi"/>
                <w:sz w:val="20"/>
                <w:szCs w:val="20"/>
              </w:rPr>
            </w:pPr>
            <w:r w:rsidRPr="003E3C17">
              <w:rPr>
                <w:sz w:val="20"/>
                <w:szCs w:val="20"/>
              </w:rPr>
              <w:t xml:space="preserve">Acquisition &amp; Relocation (c520): Coordinator's Manual 2017, </w:t>
            </w:r>
            <w:r w:rsidR="000D190B" w:rsidRPr="003E3C17">
              <w:rPr>
                <w:sz w:val="20"/>
                <w:szCs w:val="20"/>
              </w:rPr>
              <w:t>523.</w:t>
            </w:r>
            <w:r w:rsidR="000D190B">
              <w:rPr>
                <w:sz w:val="20"/>
                <w:szCs w:val="20"/>
              </w:rPr>
              <w:t>a</w:t>
            </w:r>
            <w:r w:rsidR="000D190B" w:rsidRPr="003E3C17">
              <w:rPr>
                <w:sz w:val="20"/>
                <w:szCs w:val="20"/>
              </w:rPr>
              <w:t xml:space="preserve"> </w:t>
            </w:r>
            <w:r w:rsidR="000D190B">
              <w:rPr>
                <w:sz w:val="20"/>
                <w:szCs w:val="20"/>
              </w:rPr>
              <w:t xml:space="preserve">&amp; </w:t>
            </w:r>
            <w:r w:rsidRPr="003E3C17">
              <w:rPr>
                <w:sz w:val="20"/>
                <w:szCs w:val="20"/>
              </w:rPr>
              <w:t>523.b, page 520-8</w:t>
            </w:r>
          </w:p>
        </w:tc>
      </w:tr>
    </w:tbl>
    <w:p w14:paraId="4AD174E6" w14:textId="5D2607A4" w:rsidR="006E085D" w:rsidRDefault="006E085D" w:rsidP="003E3C17">
      <w:r>
        <w:br w:type="page"/>
      </w:r>
    </w:p>
    <w:p w14:paraId="7534AF2D" w14:textId="77777777" w:rsidR="006E085D" w:rsidRDefault="006E085D" w:rsidP="006E085D">
      <w:pPr>
        <w:rPr>
          <w:b/>
          <w:bCs/>
          <w:sz w:val="24"/>
          <w:szCs w:val="24"/>
          <w:u w:val="single"/>
        </w:rPr>
      </w:pPr>
      <w:r w:rsidRPr="001105E6">
        <w:rPr>
          <w:b/>
          <w:bCs/>
          <w:sz w:val="24"/>
          <w:szCs w:val="24"/>
          <w:u w:val="single"/>
        </w:rPr>
        <w:lastRenderedPageBreak/>
        <w:t>Assumptions and conditions of the CRS Credit Calculations in West Virginia:</w:t>
      </w:r>
    </w:p>
    <w:p w14:paraId="0131590C" w14:textId="77777777" w:rsidR="006E085D" w:rsidRPr="00DE33B7" w:rsidRDefault="006E085D" w:rsidP="006E085D">
      <w:pPr>
        <w:pStyle w:val="ListParagraph"/>
        <w:numPr>
          <w:ilvl w:val="0"/>
          <w:numId w:val="1"/>
        </w:numPr>
        <w:ind w:left="360" w:hanging="180"/>
      </w:pPr>
      <w:r w:rsidRPr="00B1527E">
        <w:t xml:space="preserve">The </w:t>
      </w:r>
      <w:r w:rsidRPr="007A1CFC">
        <w:rPr>
          <w:b/>
          <w:bCs/>
        </w:rPr>
        <w:t>“OSP</w:t>
      </w:r>
      <w:r>
        <w:rPr>
          <w:b/>
          <w:bCs/>
        </w:rPr>
        <w:t>”</w:t>
      </w:r>
      <w:r w:rsidRPr="00B1527E">
        <w:t xml:space="preserve"> </w:t>
      </w:r>
      <w:r>
        <w:t>(</w:t>
      </w:r>
      <w:r w:rsidRPr="00507D2A">
        <w:rPr>
          <w:rFonts w:eastAsia="Times New Roman" w:cstheme="minorHAnsi"/>
          <w:sz w:val="20"/>
          <w:szCs w:val="20"/>
        </w:rPr>
        <w:t>CRS-422.a</w:t>
      </w:r>
      <w:r>
        <w:t xml:space="preserve">) </w:t>
      </w:r>
      <w:r w:rsidRPr="00B1527E">
        <w:t xml:space="preserve">credits can be given for the preserved open spaces located in the community’s </w:t>
      </w:r>
      <w:r w:rsidRPr="00722A04">
        <w:rPr>
          <w:sz w:val="23"/>
          <w:szCs w:val="23"/>
        </w:rPr>
        <w:t>regulatory floodplains</w:t>
      </w:r>
      <w:r>
        <w:rPr>
          <w:sz w:val="23"/>
          <w:szCs w:val="23"/>
        </w:rPr>
        <w:t xml:space="preserve"> including t</w:t>
      </w:r>
      <w:r w:rsidRPr="00722A04">
        <w:rPr>
          <w:sz w:val="23"/>
          <w:szCs w:val="23"/>
        </w:rPr>
        <w:t>he SFHA as shown on the community’s Flood Insurance Rate Map (FIRM)</w:t>
      </w:r>
      <w:r>
        <w:rPr>
          <w:sz w:val="23"/>
          <w:szCs w:val="23"/>
        </w:rPr>
        <w:t xml:space="preserve"> or another floodplain with similar development regulations. </w:t>
      </w:r>
      <w:r w:rsidRPr="00722A04">
        <w:rPr>
          <w:sz w:val="23"/>
          <w:szCs w:val="23"/>
        </w:rPr>
        <w:t xml:space="preserve">In West Virginia, </w:t>
      </w:r>
      <w:r>
        <w:rPr>
          <w:sz w:val="23"/>
          <w:szCs w:val="23"/>
        </w:rPr>
        <w:t>it</w:t>
      </w:r>
      <w:r w:rsidRPr="00722A04">
        <w:rPr>
          <w:sz w:val="23"/>
          <w:szCs w:val="23"/>
        </w:rPr>
        <w:t xml:space="preserve"> can be considered </w:t>
      </w:r>
      <w:r>
        <w:rPr>
          <w:sz w:val="23"/>
          <w:szCs w:val="23"/>
        </w:rPr>
        <w:t xml:space="preserve">just </w:t>
      </w:r>
      <w:r w:rsidRPr="00722A04">
        <w:rPr>
          <w:sz w:val="23"/>
          <w:szCs w:val="23"/>
        </w:rPr>
        <w:t xml:space="preserve">the same as </w:t>
      </w:r>
      <w:r>
        <w:rPr>
          <w:sz w:val="23"/>
          <w:szCs w:val="23"/>
        </w:rPr>
        <w:t xml:space="preserve">the </w:t>
      </w:r>
      <w:r w:rsidRPr="00722A04">
        <w:rPr>
          <w:sz w:val="23"/>
          <w:szCs w:val="23"/>
        </w:rPr>
        <w:t>Special Flood Hazard Area (SFHA) because there is no other regulatory floodplain.</w:t>
      </w:r>
    </w:p>
    <w:p w14:paraId="5D31D309" w14:textId="77777777" w:rsidR="006E085D" w:rsidRPr="00DE33B7" w:rsidRDefault="006E085D" w:rsidP="006E085D">
      <w:pPr>
        <w:pStyle w:val="ListParagraph"/>
        <w:ind w:left="360"/>
      </w:pPr>
    </w:p>
    <w:p w14:paraId="5B79EA85" w14:textId="77777777" w:rsidR="006E085D" w:rsidRDefault="006E085D" w:rsidP="006E085D">
      <w:pPr>
        <w:pStyle w:val="ListParagraph"/>
        <w:numPr>
          <w:ilvl w:val="0"/>
          <w:numId w:val="1"/>
        </w:numPr>
        <w:ind w:left="360" w:hanging="180"/>
      </w:pPr>
      <w:r w:rsidRPr="00B1527E">
        <w:t xml:space="preserve">The </w:t>
      </w:r>
      <w:r w:rsidRPr="004D7719">
        <w:rPr>
          <w:b/>
          <w:bCs/>
        </w:rPr>
        <w:t>impact adjusted SFHA</w:t>
      </w:r>
      <w:r w:rsidRPr="00B1527E">
        <w:t xml:space="preserve"> must be used in the base maps and area calculations that means the exclusion of large waterbodies</w:t>
      </w:r>
      <w:r>
        <w:t xml:space="preserve"> (larger than 10 acres)</w:t>
      </w:r>
      <w:r w:rsidRPr="00B1527E">
        <w:t xml:space="preserve"> in addition to federal lands from the SFHA area.</w:t>
      </w:r>
    </w:p>
    <w:p w14:paraId="6F26C4FC" w14:textId="77777777" w:rsidR="006E085D" w:rsidRDefault="006E085D" w:rsidP="006E085D">
      <w:pPr>
        <w:pStyle w:val="ListParagraph"/>
        <w:ind w:left="360"/>
      </w:pPr>
    </w:p>
    <w:p w14:paraId="3D5FDB21" w14:textId="77777777" w:rsidR="006E085D" w:rsidRPr="00216B22" w:rsidRDefault="006E085D" w:rsidP="006E085D">
      <w:pPr>
        <w:pStyle w:val="ListParagraph"/>
        <w:numPr>
          <w:ilvl w:val="0"/>
          <w:numId w:val="1"/>
        </w:numPr>
        <w:ind w:left="360" w:hanging="180"/>
      </w:pPr>
      <w:bookmarkStart w:id="1" w:name="_Hlk39089447"/>
      <w:r w:rsidRPr="00554795">
        <w:t xml:space="preserve">The projected coordinate system of </w:t>
      </w:r>
      <w:r w:rsidRPr="002E423C">
        <w:rPr>
          <w:b/>
          <w:bCs/>
        </w:rPr>
        <w:t>NAD 1983, UTM Zone 17N</w:t>
      </w:r>
      <w:r w:rsidRPr="00554795">
        <w:t xml:space="preserve"> </w:t>
      </w:r>
      <w:r>
        <w:t>i</w:t>
      </w:r>
      <w:r w:rsidRPr="00554795">
        <w:t>s</w:t>
      </w:r>
      <w:r>
        <w:t xml:space="preserve"> applied in the GIS files used in all area calculations of the CRS credits in West Virginia.</w:t>
      </w:r>
      <w:bookmarkEnd w:id="1"/>
    </w:p>
    <w:p w14:paraId="216643E7" w14:textId="77777777" w:rsidR="006E085D" w:rsidRPr="00216B22" w:rsidRDefault="006E085D" w:rsidP="006E085D">
      <w:pPr>
        <w:pStyle w:val="ListParagraph"/>
        <w:ind w:left="360"/>
      </w:pPr>
    </w:p>
    <w:p w14:paraId="6B47B042" w14:textId="77777777" w:rsidR="006E085D" w:rsidRPr="00A94A5D" w:rsidRDefault="006E085D" w:rsidP="006E085D">
      <w:pPr>
        <w:pStyle w:val="ListParagraph"/>
        <w:numPr>
          <w:ilvl w:val="0"/>
          <w:numId w:val="1"/>
        </w:numPr>
        <w:ind w:left="360" w:hanging="180"/>
      </w:pPr>
      <w:r>
        <w:t xml:space="preserve">To be considered as </w:t>
      </w:r>
      <w:r w:rsidRPr="00A329D5">
        <w:rPr>
          <w:b/>
          <w:bCs/>
        </w:rPr>
        <w:t>“open space”</w:t>
      </w:r>
      <w:r>
        <w:t xml:space="preserve">, it is assumed that there are no </w:t>
      </w:r>
      <w:r>
        <w:rPr>
          <w:sz w:val="23"/>
          <w:szCs w:val="23"/>
        </w:rPr>
        <w:t>buildings or structures, filling, large pavement, or other encroachment to flood flows in the parcels.</w:t>
      </w:r>
    </w:p>
    <w:p w14:paraId="3841CEC9" w14:textId="77777777" w:rsidR="006E085D" w:rsidRPr="00A94A5D" w:rsidRDefault="006E085D" w:rsidP="006E085D">
      <w:pPr>
        <w:pStyle w:val="ListParagraph"/>
        <w:ind w:left="360"/>
      </w:pPr>
    </w:p>
    <w:p w14:paraId="4FA6C3C5" w14:textId="77777777" w:rsidR="006E085D" w:rsidRDefault="006E085D" w:rsidP="006E085D">
      <w:pPr>
        <w:pStyle w:val="ListParagraph"/>
        <w:numPr>
          <w:ilvl w:val="0"/>
          <w:numId w:val="1"/>
        </w:numPr>
        <w:ind w:left="360" w:hanging="180"/>
      </w:pPr>
      <w:r w:rsidRPr="00B1527E">
        <w:t>To be qualified as</w:t>
      </w:r>
      <w:r>
        <w:t xml:space="preserve"> </w:t>
      </w:r>
      <w:r w:rsidRPr="00A329D5">
        <w:rPr>
          <w:b/>
          <w:bCs/>
        </w:rPr>
        <w:t>“preserved”</w:t>
      </w:r>
      <w:r w:rsidRPr="00B1527E">
        <w:t xml:space="preserve"> open space, </w:t>
      </w:r>
      <w:r>
        <w:t xml:space="preserve">all of the parcels included in the calculations are assumed to be attached with a </w:t>
      </w:r>
      <w:r w:rsidRPr="00B1527E">
        <w:t xml:space="preserve">signed statement by a public or creditable private owner or some regulations on the parcel preventing from construction, fillings, or other encroachments on flood flows in the future. </w:t>
      </w:r>
    </w:p>
    <w:p w14:paraId="4BB132BC" w14:textId="77777777" w:rsidR="006E085D" w:rsidRDefault="006E085D" w:rsidP="006E085D">
      <w:pPr>
        <w:pStyle w:val="ListParagraph"/>
        <w:ind w:left="360"/>
      </w:pPr>
    </w:p>
    <w:p w14:paraId="67F42BCA" w14:textId="77777777" w:rsidR="006E085D" w:rsidRDefault="006E085D" w:rsidP="006E085D">
      <w:pPr>
        <w:pStyle w:val="ListParagraph"/>
        <w:numPr>
          <w:ilvl w:val="0"/>
          <w:numId w:val="1"/>
        </w:numPr>
        <w:ind w:left="360" w:hanging="180"/>
      </w:pPr>
      <w:proofErr w:type="gramStart"/>
      <w:r>
        <w:t>All of</w:t>
      </w:r>
      <w:proofErr w:type="gramEnd"/>
      <w:r>
        <w:t xml:space="preserve"> the OSP parcels are assumed to be vacant at the time of </w:t>
      </w:r>
      <w:r w:rsidRPr="002F5FC5">
        <w:t xml:space="preserve">application for </w:t>
      </w:r>
      <w:r>
        <w:t xml:space="preserve">the </w:t>
      </w:r>
      <w:r w:rsidRPr="002F5FC5">
        <w:t>CRS credit</w:t>
      </w:r>
      <w:r>
        <w:t>.</w:t>
      </w:r>
    </w:p>
    <w:p w14:paraId="1D40C7E4" w14:textId="77777777" w:rsidR="006E085D" w:rsidRDefault="006E085D" w:rsidP="006E085D">
      <w:pPr>
        <w:pStyle w:val="ListParagraph"/>
        <w:ind w:left="360"/>
      </w:pPr>
    </w:p>
    <w:p w14:paraId="594131B2" w14:textId="77777777" w:rsidR="006E085D" w:rsidRDefault="006E085D" w:rsidP="006E085D">
      <w:pPr>
        <w:pStyle w:val="ListParagraph"/>
        <w:numPr>
          <w:ilvl w:val="0"/>
          <w:numId w:val="1"/>
        </w:numPr>
        <w:ind w:left="360" w:hanging="180"/>
      </w:pPr>
      <w:r>
        <w:t xml:space="preserve">The calculations of </w:t>
      </w:r>
      <w:r w:rsidRPr="00A329D5">
        <w:rPr>
          <w:b/>
          <w:bCs/>
        </w:rPr>
        <w:t>“deed restrictions</w:t>
      </w:r>
      <w:r>
        <w:rPr>
          <w:b/>
          <w:bCs/>
        </w:rPr>
        <w:t xml:space="preserve"> (DR)</w:t>
      </w:r>
      <w:r w:rsidRPr="00A329D5">
        <w:rPr>
          <w:b/>
          <w:bCs/>
        </w:rPr>
        <w:t>”</w:t>
      </w:r>
      <w:r>
        <w:rPr>
          <w:b/>
          <w:bCs/>
        </w:rPr>
        <w:t xml:space="preserve"> </w:t>
      </w:r>
      <w:r w:rsidRPr="00B75EC2">
        <w:rPr>
          <w:rFonts w:eastAsia="Times New Roman" w:cstheme="minorHAnsi"/>
          <w:sz w:val="20"/>
          <w:szCs w:val="20"/>
        </w:rPr>
        <w:t>(</w:t>
      </w:r>
      <w:r w:rsidRPr="00507D2A">
        <w:rPr>
          <w:rFonts w:eastAsia="Times New Roman" w:cstheme="minorHAnsi"/>
          <w:sz w:val="20"/>
          <w:szCs w:val="20"/>
        </w:rPr>
        <w:t>CRS-422.b</w:t>
      </w:r>
      <w:r>
        <w:rPr>
          <w:rFonts w:eastAsia="Times New Roman" w:cstheme="minorHAnsi"/>
          <w:sz w:val="20"/>
          <w:szCs w:val="20"/>
        </w:rPr>
        <w:t>)</w:t>
      </w:r>
      <w:r>
        <w:t xml:space="preserve"> </w:t>
      </w:r>
      <w:r w:rsidRPr="00B1527E">
        <w:t>only appl</w:t>
      </w:r>
      <w:r>
        <w:t>y</w:t>
      </w:r>
      <w:r w:rsidRPr="00B1527E">
        <w:t xml:space="preserve"> to the areas qualified for OSP, as a prerequisite.</w:t>
      </w:r>
      <w:r>
        <w:t xml:space="preserve"> It is assumed that there is </w:t>
      </w:r>
      <w:r w:rsidRPr="00FA1BC0">
        <w:t xml:space="preserve">a deed </w:t>
      </w:r>
      <w:r>
        <w:t xml:space="preserve">for the parcels </w:t>
      </w:r>
      <w:r w:rsidRPr="00FA1BC0">
        <w:t>with the explicit language indicating the following restrictions:</w:t>
      </w:r>
    </w:p>
    <w:p w14:paraId="351C5886" w14:textId="77777777" w:rsidR="006E085D" w:rsidRDefault="006E085D" w:rsidP="006E085D">
      <w:pPr>
        <w:pStyle w:val="ListParagraph"/>
        <w:ind w:left="360"/>
      </w:pPr>
      <w:r w:rsidRPr="00FA1BC0">
        <w:t xml:space="preserve">(a) No new buildings may be allowed on the property; </w:t>
      </w:r>
    </w:p>
    <w:p w14:paraId="1B7CE4DF" w14:textId="77777777" w:rsidR="006E085D" w:rsidRDefault="006E085D" w:rsidP="006E085D">
      <w:pPr>
        <w:pStyle w:val="ListParagraph"/>
        <w:ind w:left="360"/>
      </w:pPr>
      <w:r w:rsidRPr="00B1527E">
        <w:t xml:space="preserve">(b) The restriction runs with the land; and </w:t>
      </w:r>
    </w:p>
    <w:p w14:paraId="216510D6" w14:textId="77777777" w:rsidR="006E085D" w:rsidRDefault="006E085D" w:rsidP="006E085D">
      <w:pPr>
        <w:pStyle w:val="ListParagraph"/>
        <w:ind w:left="360"/>
      </w:pPr>
      <w:r w:rsidRPr="00B1527E">
        <w:t>(c) The restriction cannot be changed by a future owner; rather, it can only be amended by a court for just cause.</w:t>
      </w:r>
    </w:p>
    <w:p w14:paraId="3D43A2B5" w14:textId="77777777" w:rsidR="006E085D" w:rsidRDefault="006E085D" w:rsidP="006E085D">
      <w:pPr>
        <w:pStyle w:val="ListParagraph"/>
        <w:ind w:left="360"/>
      </w:pPr>
    </w:p>
    <w:p w14:paraId="66C5BFBC" w14:textId="77777777" w:rsidR="006E085D" w:rsidRDefault="006E085D" w:rsidP="006E085D">
      <w:pPr>
        <w:pStyle w:val="ListParagraph"/>
        <w:numPr>
          <w:ilvl w:val="0"/>
          <w:numId w:val="1"/>
        </w:numPr>
        <w:ind w:left="360" w:hanging="180"/>
      </w:pPr>
      <w:r>
        <w:t xml:space="preserve">To be eligible for the </w:t>
      </w:r>
      <w:r w:rsidRPr="00AF3C50">
        <w:rPr>
          <w:b/>
          <w:bCs/>
        </w:rPr>
        <w:t>“Natural Functions Open Space (NFOS)”</w:t>
      </w:r>
      <w:r>
        <w:rPr>
          <w:b/>
          <w:bCs/>
        </w:rPr>
        <w:t xml:space="preserve"> </w:t>
      </w:r>
      <w:r w:rsidRPr="00353CCD">
        <w:rPr>
          <w:rFonts w:eastAsia="Times New Roman" w:cstheme="minorHAnsi"/>
          <w:sz w:val="20"/>
          <w:szCs w:val="20"/>
        </w:rPr>
        <w:t>(</w:t>
      </w:r>
      <w:r w:rsidRPr="00507D2A">
        <w:rPr>
          <w:rFonts w:eastAsia="Times New Roman" w:cstheme="minorHAnsi"/>
          <w:sz w:val="20"/>
          <w:szCs w:val="20"/>
        </w:rPr>
        <w:t>CRS-422.c</w:t>
      </w:r>
      <w:r>
        <w:rPr>
          <w:rFonts w:eastAsia="Times New Roman" w:cstheme="minorHAnsi"/>
          <w:sz w:val="20"/>
          <w:szCs w:val="20"/>
        </w:rPr>
        <w:t>)</w:t>
      </w:r>
      <w:r>
        <w:t xml:space="preserve">, the properties are assumed to be managed to keep the </w:t>
      </w:r>
      <w:r w:rsidRPr="00B1527E">
        <w:t>undeveloped natural state</w:t>
      </w:r>
      <w:r>
        <w:t xml:space="preserve"> (for NFOS1) or </w:t>
      </w:r>
      <w:r w:rsidRPr="00010704">
        <w:t>designation as critical habitat for threatened or endangered species</w:t>
      </w:r>
      <w:r>
        <w:t xml:space="preserve"> (for NFOS3).</w:t>
      </w:r>
    </w:p>
    <w:p w14:paraId="4B598229" w14:textId="77777777" w:rsidR="006E085D" w:rsidRDefault="006E085D" w:rsidP="006E085D">
      <w:pPr>
        <w:pStyle w:val="ListParagraph"/>
        <w:ind w:left="360"/>
      </w:pPr>
    </w:p>
    <w:p w14:paraId="43E34A31" w14:textId="77777777" w:rsidR="006E085D" w:rsidRDefault="006E085D" w:rsidP="006E085D">
      <w:pPr>
        <w:pStyle w:val="ListParagraph"/>
        <w:numPr>
          <w:ilvl w:val="0"/>
          <w:numId w:val="1"/>
        </w:numPr>
        <w:ind w:left="360" w:hanging="180"/>
      </w:pPr>
      <w:r>
        <w:t xml:space="preserve">For the calculations of </w:t>
      </w:r>
      <w:r w:rsidRPr="00B57550">
        <w:rPr>
          <w:b/>
          <w:bCs/>
        </w:rPr>
        <w:t>“Freeboard (FRB)”</w:t>
      </w:r>
      <w:r>
        <w:t xml:space="preserve"> (</w:t>
      </w:r>
      <w:r w:rsidRPr="00507D2A">
        <w:rPr>
          <w:rFonts w:eastAsia="Times New Roman" w:cstheme="minorHAnsi"/>
          <w:sz w:val="20"/>
          <w:szCs w:val="20"/>
        </w:rPr>
        <w:t>CRS-</w:t>
      </w:r>
      <w:r w:rsidRPr="00FF38D7">
        <w:rPr>
          <w:rFonts w:eastAsia="Times New Roman" w:cstheme="minorHAnsi"/>
          <w:sz w:val="20"/>
          <w:szCs w:val="20"/>
        </w:rPr>
        <w:t>432</w:t>
      </w:r>
      <w:r w:rsidRPr="00507D2A">
        <w:rPr>
          <w:rFonts w:eastAsia="Times New Roman" w:cstheme="minorHAnsi"/>
          <w:sz w:val="20"/>
          <w:szCs w:val="20"/>
        </w:rPr>
        <w:t>.b</w:t>
      </w:r>
      <w:r>
        <w:t>), a 2-foot freeboard is assumed in West Virginia. T</w:t>
      </w:r>
      <w:r w:rsidRPr="00F1194F">
        <w:t>he areas previously calculated in the open space preservation credit (</w:t>
      </w:r>
      <w:proofErr w:type="spellStart"/>
      <w:r w:rsidRPr="00F1194F">
        <w:t>cOSP</w:t>
      </w:r>
      <w:proofErr w:type="spellEnd"/>
      <w:r w:rsidRPr="00F1194F">
        <w:t xml:space="preserve">) </w:t>
      </w:r>
      <w:r>
        <w:t xml:space="preserve">are </w:t>
      </w:r>
      <w:r w:rsidRPr="00F1194F">
        <w:t>excluded from the freeboard area.</w:t>
      </w:r>
    </w:p>
    <w:p w14:paraId="01A217D7" w14:textId="77777777" w:rsidR="006E085D" w:rsidRDefault="006E085D" w:rsidP="006E085D">
      <w:pPr>
        <w:pStyle w:val="ListParagraph"/>
        <w:ind w:left="360"/>
      </w:pPr>
    </w:p>
    <w:p w14:paraId="42794502" w14:textId="77777777" w:rsidR="006E085D" w:rsidRDefault="006E085D" w:rsidP="006E085D">
      <w:pPr>
        <w:pStyle w:val="ListParagraph"/>
        <w:numPr>
          <w:ilvl w:val="0"/>
          <w:numId w:val="1"/>
        </w:numPr>
        <w:ind w:left="360" w:hanging="180"/>
      </w:pPr>
      <w:r>
        <w:t xml:space="preserve">In the calculations of </w:t>
      </w:r>
      <w:r w:rsidRPr="00B339A3">
        <w:rPr>
          <w:b/>
          <w:bCs/>
        </w:rPr>
        <w:t>“Acquisition and Relocation”</w:t>
      </w:r>
      <w:r>
        <w:rPr>
          <w:b/>
          <w:bCs/>
        </w:rPr>
        <w:t xml:space="preserve"> </w:t>
      </w:r>
      <w:r w:rsidRPr="00AF1088">
        <w:t>(CRS</w:t>
      </w:r>
      <w:r w:rsidRPr="00507D2A">
        <w:rPr>
          <w:rFonts w:eastAsia="Times New Roman" w:cstheme="minorHAnsi"/>
          <w:sz w:val="20"/>
          <w:szCs w:val="20"/>
        </w:rPr>
        <w:t>-523.b</w:t>
      </w:r>
      <w:r>
        <w:rPr>
          <w:rFonts w:eastAsia="Times New Roman" w:cstheme="minorHAnsi"/>
          <w:sz w:val="20"/>
          <w:szCs w:val="20"/>
        </w:rPr>
        <w:t>)</w:t>
      </w:r>
      <w:r>
        <w:t xml:space="preserve">, the assumption is that all </w:t>
      </w:r>
      <w:r w:rsidRPr="00CE12C0">
        <w:t>the buyout properties</w:t>
      </w:r>
      <w:r>
        <w:t xml:space="preserve"> had</w:t>
      </w:r>
      <w:r w:rsidRPr="00CE12C0">
        <w:t xml:space="preserve"> buildings</w:t>
      </w:r>
      <w:r>
        <w:t xml:space="preserve"> that have been acquired or relocated </w:t>
      </w:r>
      <w:r w:rsidRPr="0060500B">
        <w:t>from the regulatory floodplain since</w:t>
      </w:r>
      <w:r>
        <w:t xml:space="preserve"> the</w:t>
      </w:r>
      <w:r w:rsidRPr="0060500B">
        <w:t xml:space="preserve"> FIRM effective date</w:t>
      </w:r>
      <w:r>
        <w:t>. (In the Mount Hope study, is was investigated manually by the parcel history of the properties, but it is not possible for the entire state at this point).</w:t>
      </w:r>
    </w:p>
    <w:p w14:paraId="41593685" w14:textId="3472DE03" w:rsidR="006E085D" w:rsidRDefault="006E085D" w:rsidP="006E085D">
      <w:pPr>
        <w:pStyle w:val="ListParagraph"/>
        <w:numPr>
          <w:ilvl w:val="0"/>
          <w:numId w:val="1"/>
        </w:numPr>
        <w:ind w:left="360" w:hanging="180"/>
      </w:pPr>
      <w:r>
        <w:lastRenderedPageBreak/>
        <w:t xml:space="preserve">As there is no other regulatory floodplain in West Virginia, in calculations of step 2 of the option 2 (c520-2.2), </w:t>
      </w:r>
      <w:r w:rsidRPr="0078307E">
        <w:t>the number of buildings acquired or relocated out of the SFHA</w:t>
      </w:r>
      <w:r>
        <w:t xml:space="preserve"> (</w:t>
      </w:r>
      <w:proofErr w:type="spellStart"/>
      <w:r>
        <w:t>bARSF</w:t>
      </w:r>
      <w:proofErr w:type="spellEnd"/>
      <w:r>
        <w:t xml:space="preserve">) is the same as the number of </w:t>
      </w:r>
      <w:r w:rsidRPr="0078307E">
        <w:t>buildings acquired or relocated from the regulatory floodplain</w:t>
      </w:r>
      <w:r>
        <w:t xml:space="preserve"> (</w:t>
      </w:r>
      <w:proofErr w:type="spellStart"/>
      <w:r>
        <w:t>bAR</w:t>
      </w:r>
      <w:proofErr w:type="spellEnd"/>
      <w:r>
        <w:t>).</w:t>
      </w:r>
      <w:r>
        <w:br/>
      </w:r>
    </w:p>
    <w:p w14:paraId="168D54A0" w14:textId="77777777" w:rsidR="006E085D" w:rsidRDefault="006E085D" w:rsidP="006E085D">
      <w:pPr>
        <w:pStyle w:val="ListParagraph"/>
        <w:numPr>
          <w:ilvl w:val="0"/>
          <w:numId w:val="1"/>
        </w:numPr>
        <w:ind w:left="360" w:hanging="180"/>
      </w:pPr>
      <w:r>
        <w:t xml:space="preserve">No credit was given for removed structures that were on FEMA’s list of Repetitive Loss Structures. </w:t>
      </w:r>
    </w:p>
    <w:p w14:paraId="46F43C77" w14:textId="77777777" w:rsidR="006E085D" w:rsidRPr="007B1D5A" w:rsidRDefault="006E085D" w:rsidP="006E085D">
      <w:pPr>
        <w:tabs>
          <w:tab w:val="left" w:pos="480"/>
        </w:tabs>
      </w:pPr>
    </w:p>
    <w:p w14:paraId="7212D639" w14:textId="55E4C875" w:rsidR="000D2114" w:rsidRDefault="000D2114">
      <w:bookmarkStart w:id="2" w:name="_GoBack"/>
      <w:bookmarkEnd w:id="2"/>
      <w:r>
        <w:rPr>
          <w:noProof/>
        </w:rPr>
        <w:lastRenderedPageBreak/>
        <w:drawing>
          <wp:inline distT="0" distB="0" distL="0" distR="0" wp14:anchorId="44EB1B5A" wp14:editId="0A85264A">
            <wp:extent cx="5892800" cy="79691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7249" cy="797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64DE6074" w14:textId="77777777" w:rsidR="003E3C17" w:rsidRDefault="003E3C17" w:rsidP="003E3C17"/>
    <w:p w14:paraId="751C9C79" w14:textId="3A856C7B" w:rsidR="000D2114" w:rsidRDefault="000D2114">
      <w:r>
        <w:rPr>
          <w:noProof/>
        </w:rPr>
        <w:drawing>
          <wp:inline distT="0" distB="0" distL="0" distR="0" wp14:anchorId="2B9F7158" wp14:editId="16F1B1CB">
            <wp:extent cx="5943600" cy="67379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3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30950FA3" w14:textId="538FFCDF" w:rsidR="00CD28AF" w:rsidRDefault="00CD28AF" w:rsidP="00534F2D"/>
    <w:p w14:paraId="60487363" w14:textId="2F8F8CAB" w:rsidR="00CD28AF" w:rsidRDefault="000D2114" w:rsidP="00534F2D">
      <w:r>
        <w:rPr>
          <w:noProof/>
        </w:rPr>
        <w:drawing>
          <wp:inline distT="0" distB="0" distL="0" distR="0" wp14:anchorId="311445B4" wp14:editId="58DE6BC0">
            <wp:extent cx="5943600" cy="55619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6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9A01" w14:textId="590A7C3C" w:rsidR="00CD28AF" w:rsidRDefault="00CD28AF" w:rsidP="00534F2D"/>
    <w:sectPr w:rsidR="00CD28AF" w:rsidSect="00534F2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FF775" w14:textId="77777777" w:rsidR="00075BC6" w:rsidRDefault="00075BC6" w:rsidP="00061BE7">
      <w:pPr>
        <w:spacing w:after="0" w:line="240" w:lineRule="auto"/>
      </w:pPr>
      <w:r>
        <w:separator/>
      </w:r>
    </w:p>
  </w:endnote>
  <w:endnote w:type="continuationSeparator" w:id="0">
    <w:p w14:paraId="1219A78E" w14:textId="77777777" w:rsidR="00075BC6" w:rsidRDefault="00075BC6" w:rsidP="00061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5477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94021F" w14:textId="03625030" w:rsidR="00061BE7" w:rsidRDefault="00061B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F1FD0D" w14:textId="77777777" w:rsidR="00061BE7" w:rsidRDefault="00061B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BE3D8" w14:textId="77777777" w:rsidR="00075BC6" w:rsidRDefault="00075BC6" w:rsidP="00061BE7">
      <w:pPr>
        <w:spacing w:after="0" w:line="240" w:lineRule="auto"/>
      </w:pPr>
      <w:r>
        <w:separator/>
      </w:r>
    </w:p>
  </w:footnote>
  <w:footnote w:type="continuationSeparator" w:id="0">
    <w:p w14:paraId="3F661E7A" w14:textId="77777777" w:rsidR="00075BC6" w:rsidRDefault="00075BC6" w:rsidP="00061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4FD60" w14:textId="39EACC47" w:rsidR="00B37EAF" w:rsidRPr="00B37EAF" w:rsidRDefault="00B37EAF" w:rsidP="00B37EAF">
    <w:pPr>
      <w:pStyle w:val="Header"/>
      <w:jc w:val="center"/>
      <w:rPr>
        <w:sz w:val="24"/>
        <w:szCs w:val="24"/>
      </w:rPr>
    </w:pPr>
    <w:r w:rsidRPr="00B37EAF">
      <w:rPr>
        <w:sz w:val="24"/>
        <w:szCs w:val="24"/>
      </w:rPr>
      <w:t>CRS Credit Calculations for Open Space Preservation, Freeboard, and Buyout Properties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56628"/>
    <w:multiLevelType w:val="hybridMultilevel"/>
    <w:tmpl w:val="5F9C7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D2A"/>
    <w:rsid w:val="00014EB4"/>
    <w:rsid w:val="0005603E"/>
    <w:rsid w:val="00060982"/>
    <w:rsid w:val="00061BE7"/>
    <w:rsid w:val="00075BC6"/>
    <w:rsid w:val="000D190B"/>
    <w:rsid w:val="000D2114"/>
    <w:rsid w:val="000F30A7"/>
    <w:rsid w:val="00142210"/>
    <w:rsid w:val="001F1B76"/>
    <w:rsid w:val="002C4A05"/>
    <w:rsid w:val="002E7C02"/>
    <w:rsid w:val="002F4EED"/>
    <w:rsid w:val="0038026B"/>
    <w:rsid w:val="003E3C17"/>
    <w:rsid w:val="00416C60"/>
    <w:rsid w:val="004441F3"/>
    <w:rsid w:val="004507AB"/>
    <w:rsid w:val="00481699"/>
    <w:rsid w:val="004B585F"/>
    <w:rsid w:val="004B7DF8"/>
    <w:rsid w:val="004D4772"/>
    <w:rsid w:val="00507D2A"/>
    <w:rsid w:val="0052480A"/>
    <w:rsid w:val="00534F2D"/>
    <w:rsid w:val="00543B3A"/>
    <w:rsid w:val="006548DD"/>
    <w:rsid w:val="0066369A"/>
    <w:rsid w:val="0066556C"/>
    <w:rsid w:val="00670A3A"/>
    <w:rsid w:val="006B5D2A"/>
    <w:rsid w:val="006E085D"/>
    <w:rsid w:val="0075516F"/>
    <w:rsid w:val="007562A4"/>
    <w:rsid w:val="00757B3C"/>
    <w:rsid w:val="00762524"/>
    <w:rsid w:val="007C6961"/>
    <w:rsid w:val="0085042B"/>
    <w:rsid w:val="008A30A0"/>
    <w:rsid w:val="008A4FA2"/>
    <w:rsid w:val="008C7C32"/>
    <w:rsid w:val="008F2A2E"/>
    <w:rsid w:val="00951E47"/>
    <w:rsid w:val="00956CB5"/>
    <w:rsid w:val="00A2484E"/>
    <w:rsid w:val="00A56D5C"/>
    <w:rsid w:val="00AD4585"/>
    <w:rsid w:val="00AE5CC1"/>
    <w:rsid w:val="00B05836"/>
    <w:rsid w:val="00B37EAF"/>
    <w:rsid w:val="00B61192"/>
    <w:rsid w:val="00B66DD7"/>
    <w:rsid w:val="00BB042F"/>
    <w:rsid w:val="00C366CF"/>
    <w:rsid w:val="00C72260"/>
    <w:rsid w:val="00CD28AF"/>
    <w:rsid w:val="00D01358"/>
    <w:rsid w:val="00D6480B"/>
    <w:rsid w:val="00D77AFC"/>
    <w:rsid w:val="00DC66A8"/>
    <w:rsid w:val="00DE2404"/>
    <w:rsid w:val="00DF00A4"/>
    <w:rsid w:val="00E002ED"/>
    <w:rsid w:val="00E0773E"/>
    <w:rsid w:val="00E572EC"/>
    <w:rsid w:val="00E9092F"/>
    <w:rsid w:val="00EB2D2C"/>
    <w:rsid w:val="00F54C2F"/>
    <w:rsid w:val="00FD7EAA"/>
    <w:rsid w:val="00FF38D7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D74FE"/>
  <w15:chartTrackingRefBased/>
  <w15:docId w15:val="{B318A9E2-C570-47F2-B93C-AEFC5F3C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BE7"/>
  </w:style>
  <w:style w:type="paragraph" w:styleId="Footer">
    <w:name w:val="footer"/>
    <w:basedOn w:val="Normal"/>
    <w:link w:val="FooterChar"/>
    <w:uiPriority w:val="99"/>
    <w:unhideWhenUsed/>
    <w:rsid w:val="00061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BE7"/>
  </w:style>
  <w:style w:type="paragraph" w:styleId="ListParagraph">
    <w:name w:val="List Paragraph"/>
    <w:basedOn w:val="Normal"/>
    <w:uiPriority w:val="34"/>
    <w:qFormat/>
    <w:rsid w:val="006E0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0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54561-42B4-4673-834A-1FBD7D6F2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Donaldson</dc:creator>
  <cp:keywords/>
  <dc:description/>
  <cp:lastModifiedBy>Kurt Donaldson</cp:lastModifiedBy>
  <cp:revision>2</cp:revision>
  <cp:lastPrinted>2019-11-24T00:21:00Z</cp:lastPrinted>
  <dcterms:created xsi:type="dcterms:W3CDTF">2020-09-16T14:36:00Z</dcterms:created>
  <dcterms:modified xsi:type="dcterms:W3CDTF">2020-09-16T14:36:00Z</dcterms:modified>
</cp:coreProperties>
</file>