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696" w:rsidRDefault="00217696"/>
    <w:p w:rsidR="00217696" w:rsidRDefault="00217696"/>
    <w:p w:rsidR="00217696" w:rsidRDefault="00217696"/>
    <w:p w:rsidR="00217696" w:rsidRDefault="00217696"/>
    <w:p w:rsidR="00217696" w:rsidRDefault="00217696"/>
    <w:tbl>
      <w:tblPr>
        <w:tblW w:w="14224" w:type="dxa"/>
        <w:jc w:val="center"/>
        <w:tblCellMar>
          <w:left w:w="0" w:type="dxa"/>
          <w:right w:w="0" w:type="dxa"/>
        </w:tblCellMar>
        <w:tblLook w:val="04A0" w:firstRow="1" w:lastRow="0" w:firstColumn="1" w:lastColumn="0" w:noHBand="0" w:noVBand="1"/>
      </w:tblPr>
      <w:tblGrid>
        <w:gridCol w:w="4148"/>
        <w:gridCol w:w="771"/>
        <w:gridCol w:w="1585"/>
        <w:gridCol w:w="7720"/>
      </w:tblGrid>
      <w:tr w:rsidR="00217696" w:rsidTr="00217696">
        <w:trPr>
          <w:trHeight w:val="270"/>
          <w:jc w:val="center"/>
        </w:trPr>
        <w:tc>
          <w:tcPr>
            <w:tcW w:w="6504" w:type="dxa"/>
            <w:gridSpan w:val="3"/>
            <w:noWrap/>
            <w:tcMar>
              <w:top w:w="0" w:type="dxa"/>
              <w:left w:w="108" w:type="dxa"/>
              <w:bottom w:w="0" w:type="dxa"/>
              <w:right w:w="108" w:type="dxa"/>
            </w:tcMar>
            <w:vAlign w:val="bottom"/>
            <w:hideMark/>
          </w:tcPr>
          <w:p w:rsidR="00217696" w:rsidRDefault="00217696" w:rsidP="00345DF5">
            <w:pPr>
              <w:rPr>
                <w:b/>
                <w:bCs/>
                <w:color w:val="000000"/>
                <w:sz w:val="20"/>
                <w:szCs w:val="20"/>
              </w:rPr>
            </w:pPr>
            <w:r>
              <w:rPr>
                <w:b/>
                <w:bCs/>
                <w:color w:val="000000"/>
                <w:sz w:val="20"/>
                <w:szCs w:val="20"/>
              </w:rPr>
              <w:t>&lt; Pre-Redistricting Precinct Summary and Mismatch List (V1) &gt;</w:t>
            </w:r>
          </w:p>
        </w:tc>
        <w:tc>
          <w:tcPr>
            <w:tcW w:w="7720" w:type="dxa"/>
            <w:tcMar>
              <w:top w:w="0" w:type="dxa"/>
              <w:left w:w="108" w:type="dxa"/>
              <w:bottom w:w="0" w:type="dxa"/>
              <w:right w:w="108" w:type="dxa"/>
            </w:tcMar>
            <w:vAlign w:val="bottom"/>
            <w:hideMark/>
          </w:tcPr>
          <w:p w:rsidR="00217696" w:rsidRDefault="00217696" w:rsidP="00345DF5">
            <w:pPr>
              <w:rPr>
                <w:b/>
                <w:bCs/>
                <w:color w:val="000000"/>
                <w:sz w:val="20"/>
                <w:szCs w:val="20"/>
              </w:rPr>
            </w:pPr>
          </w:p>
        </w:tc>
      </w:tr>
      <w:tr w:rsidR="00217696" w:rsidTr="00217696">
        <w:trPr>
          <w:trHeight w:val="255"/>
          <w:jc w:val="center"/>
        </w:trPr>
        <w:tc>
          <w:tcPr>
            <w:tcW w:w="4148" w:type="dxa"/>
            <w:tcBorders>
              <w:top w:val="single" w:sz="8" w:space="0" w:color="auto"/>
              <w:left w:val="single" w:sz="8" w:space="0" w:color="auto"/>
              <w:bottom w:val="single" w:sz="8" w:space="0" w:color="auto"/>
              <w:right w:val="single" w:sz="8" w:space="0" w:color="auto"/>
            </w:tcBorders>
            <w:shd w:val="clear" w:color="auto" w:fill="305496"/>
            <w:tcMar>
              <w:top w:w="0" w:type="dxa"/>
              <w:left w:w="108" w:type="dxa"/>
              <w:bottom w:w="0" w:type="dxa"/>
              <w:right w:w="108" w:type="dxa"/>
            </w:tcMar>
            <w:vAlign w:val="center"/>
            <w:hideMark/>
          </w:tcPr>
          <w:p w:rsidR="00217696" w:rsidRDefault="00217696" w:rsidP="00345DF5">
            <w:pPr>
              <w:rPr>
                <w:b/>
                <w:bCs/>
                <w:color w:val="FFFFFF"/>
                <w:sz w:val="20"/>
                <w:szCs w:val="20"/>
              </w:rPr>
            </w:pPr>
            <w:r>
              <w:rPr>
                <w:b/>
                <w:bCs/>
                <w:color w:val="FFFFFF"/>
                <w:sz w:val="20"/>
                <w:szCs w:val="20"/>
              </w:rPr>
              <w:t>Current Precinct Summary (V1)</w:t>
            </w:r>
          </w:p>
        </w:tc>
        <w:tc>
          <w:tcPr>
            <w:tcW w:w="771" w:type="dxa"/>
            <w:tcBorders>
              <w:top w:val="single" w:sz="8" w:space="0" w:color="auto"/>
              <w:left w:val="nil"/>
              <w:bottom w:val="single" w:sz="8" w:space="0" w:color="auto"/>
              <w:right w:val="single" w:sz="8" w:space="0" w:color="auto"/>
            </w:tcBorders>
            <w:shd w:val="clear" w:color="auto" w:fill="305496"/>
            <w:noWrap/>
            <w:tcMar>
              <w:top w:w="0" w:type="dxa"/>
              <w:left w:w="108" w:type="dxa"/>
              <w:bottom w:w="0" w:type="dxa"/>
              <w:right w:w="108" w:type="dxa"/>
            </w:tcMar>
            <w:vAlign w:val="center"/>
            <w:hideMark/>
          </w:tcPr>
          <w:p w:rsidR="00217696" w:rsidRDefault="00217696" w:rsidP="00345DF5">
            <w:pPr>
              <w:jc w:val="center"/>
              <w:rPr>
                <w:b/>
                <w:bCs/>
                <w:color w:val="FFFFFF"/>
                <w:sz w:val="20"/>
                <w:szCs w:val="20"/>
              </w:rPr>
            </w:pPr>
            <w:r>
              <w:rPr>
                <w:b/>
                <w:bCs/>
                <w:color w:val="FFFFFF"/>
                <w:sz w:val="20"/>
                <w:szCs w:val="20"/>
              </w:rPr>
              <w:t> </w:t>
            </w:r>
          </w:p>
        </w:tc>
        <w:tc>
          <w:tcPr>
            <w:tcW w:w="1585" w:type="dxa"/>
            <w:tcBorders>
              <w:top w:val="single" w:sz="8" w:space="0" w:color="auto"/>
              <w:left w:val="nil"/>
              <w:bottom w:val="single" w:sz="8" w:space="0" w:color="auto"/>
              <w:right w:val="nil"/>
            </w:tcBorders>
            <w:shd w:val="clear" w:color="auto" w:fill="305496"/>
            <w:noWrap/>
            <w:tcMar>
              <w:top w:w="0" w:type="dxa"/>
              <w:left w:w="108" w:type="dxa"/>
              <w:bottom w:w="0" w:type="dxa"/>
              <w:right w:w="108" w:type="dxa"/>
            </w:tcMar>
            <w:vAlign w:val="center"/>
            <w:hideMark/>
          </w:tcPr>
          <w:p w:rsidR="00217696" w:rsidRDefault="00217696" w:rsidP="00345DF5">
            <w:pPr>
              <w:jc w:val="center"/>
              <w:rPr>
                <w:b/>
                <w:bCs/>
                <w:color w:val="FFFFFF"/>
                <w:sz w:val="20"/>
                <w:szCs w:val="20"/>
              </w:rPr>
            </w:pPr>
            <w:r>
              <w:rPr>
                <w:b/>
                <w:bCs/>
                <w:color w:val="FFFFFF"/>
                <w:sz w:val="20"/>
                <w:szCs w:val="20"/>
              </w:rPr>
              <w:t> </w:t>
            </w:r>
          </w:p>
        </w:tc>
        <w:tc>
          <w:tcPr>
            <w:tcW w:w="7720" w:type="dxa"/>
            <w:tcBorders>
              <w:top w:val="single" w:sz="8" w:space="0" w:color="auto"/>
              <w:left w:val="single" w:sz="8" w:space="0" w:color="auto"/>
              <w:bottom w:val="single" w:sz="8" w:space="0" w:color="auto"/>
              <w:right w:val="single" w:sz="8" w:space="0" w:color="auto"/>
            </w:tcBorders>
            <w:shd w:val="clear" w:color="auto" w:fill="305496"/>
            <w:tcMar>
              <w:top w:w="0" w:type="dxa"/>
              <w:left w:w="108" w:type="dxa"/>
              <w:bottom w:w="0" w:type="dxa"/>
              <w:right w:w="108" w:type="dxa"/>
            </w:tcMar>
            <w:vAlign w:val="center"/>
            <w:hideMark/>
          </w:tcPr>
          <w:p w:rsidR="00217696" w:rsidRDefault="00217696" w:rsidP="00345DF5">
            <w:pPr>
              <w:jc w:val="center"/>
              <w:rPr>
                <w:b/>
                <w:bCs/>
                <w:color w:val="FFFFFF"/>
                <w:sz w:val="20"/>
                <w:szCs w:val="20"/>
              </w:rPr>
            </w:pPr>
            <w:r>
              <w:rPr>
                <w:b/>
                <w:bCs/>
                <w:color w:val="FFFFFF"/>
                <w:sz w:val="20"/>
                <w:szCs w:val="20"/>
              </w:rPr>
              <w:t>What does it mean?</w:t>
            </w:r>
          </w:p>
        </w:tc>
      </w:tr>
      <w:tr w:rsidR="00217696" w:rsidTr="00217696">
        <w:trPr>
          <w:trHeight w:val="255"/>
          <w:jc w:val="center"/>
        </w:trPr>
        <w:tc>
          <w:tcPr>
            <w:tcW w:w="41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Precinct Number (GEO)</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14</w:t>
            </w:r>
          </w:p>
        </w:tc>
        <w:tc>
          <w:tcPr>
            <w:tcW w:w="15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GEO Precinct</w:t>
            </w:r>
          </w:p>
        </w:tc>
        <w:tc>
          <w:tcPr>
            <w:tcW w:w="7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7696" w:rsidRDefault="00217696" w:rsidP="00345DF5">
            <w:pPr>
              <w:rPr>
                <w:b/>
                <w:bCs/>
                <w:color w:val="1F4E79"/>
                <w:sz w:val="20"/>
                <w:szCs w:val="20"/>
              </w:rPr>
            </w:pPr>
            <w:r>
              <w:rPr>
                <w:sz w:val="20"/>
                <w:szCs w:val="20"/>
              </w:rPr>
              <w:t xml:space="preserve">There are </w:t>
            </w:r>
            <w:r>
              <w:rPr>
                <w:b/>
                <w:bCs/>
                <w:color w:val="1F4E79"/>
                <w:sz w:val="20"/>
                <w:szCs w:val="20"/>
              </w:rPr>
              <w:t xml:space="preserve">14 precincts </w:t>
            </w:r>
            <w:r>
              <w:rPr>
                <w:color w:val="000000"/>
                <w:sz w:val="20"/>
                <w:szCs w:val="20"/>
              </w:rPr>
              <w:t xml:space="preserve">before redistricting commences. </w:t>
            </w:r>
            <w:r>
              <w:rPr>
                <w:b/>
                <w:bCs/>
                <w:color w:val="1F4E79"/>
                <w:sz w:val="20"/>
                <w:szCs w:val="20"/>
              </w:rPr>
              <w:t> </w:t>
            </w:r>
          </w:p>
        </w:tc>
      </w:tr>
      <w:tr w:rsidR="00217696" w:rsidTr="00217696">
        <w:trPr>
          <w:trHeight w:val="840"/>
          <w:jc w:val="center"/>
        </w:trPr>
        <w:tc>
          <w:tcPr>
            <w:tcW w:w="414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Total Population</w:t>
            </w:r>
          </w:p>
        </w:tc>
        <w:tc>
          <w:tcPr>
            <w:tcW w:w="771"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8,378*</w:t>
            </w:r>
          </w:p>
        </w:tc>
        <w:tc>
          <w:tcPr>
            <w:tcW w:w="1585" w:type="dxa"/>
            <w:tcBorders>
              <w:top w:val="nil"/>
              <w:left w:val="nil"/>
              <w:bottom w:val="single" w:sz="8" w:space="0" w:color="auto"/>
              <w:right w:val="nil"/>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Census 2020</w:t>
            </w:r>
          </w:p>
        </w:tc>
        <w:tc>
          <w:tcPr>
            <w:tcW w:w="7720" w:type="dxa"/>
            <w:vMerge w:val="restar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b/>
                <w:bCs/>
                <w:color w:val="1F4E79"/>
                <w:sz w:val="20"/>
                <w:szCs w:val="20"/>
              </w:rPr>
            </w:pPr>
            <w:r>
              <w:rPr>
                <w:color w:val="000000"/>
                <w:sz w:val="20"/>
                <w:szCs w:val="20"/>
              </w:rPr>
              <w:t xml:space="preserve">According to Census 2020, the total population and voting age population are </w:t>
            </w:r>
            <w:r>
              <w:rPr>
                <w:b/>
                <w:bCs/>
                <w:color w:val="1F4E79"/>
                <w:sz w:val="20"/>
                <w:szCs w:val="20"/>
              </w:rPr>
              <w:t>8,378</w:t>
            </w:r>
            <w:r>
              <w:rPr>
                <w:color w:val="1F4E79"/>
                <w:sz w:val="20"/>
                <w:szCs w:val="20"/>
              </w:rPr>
              <w:t xml:space="preserve"> </w:t>
            </w:r>
            <w:r>
              <w:rPr>
                <w:color w:val="000000"/>
                <w:sz w:val="20"/>
                <w:szCs w:val="20"/>
              </w:rPr>
              <w:t xml:space="preserve">and </w:t>
            </w:r>
            <w:r>
              <w:rPr>
                <w:b/>
                <w:bCs/>
                <w:color w:val="1F4E79"/>
                <w:sz w:val="20"/>
                <w:szCs w:val="20"/>
              </w:rPr>
              <w:t>6,714</w:t>
            </w:r>
            <w:r>
              <w:rPr>
                <w:color w:val="000000"/>
                <w:sz w:val="20"/>
                <w:szCs w:val="20"/>
              </w:rPr>
              <w:t xml:space="preserve">, respectively.  </w:t>
            </w:r>
          </w:p>
        </w:tc>
      </w:tr>
      <w:tr w:rsidR="00217696" w:rsidTr="00217696">
        <w:trPr>
          <w:trHeight w:val="465"/>
          <w:jc w:val="center"/>
        </w:trPr>
        <w:tc>
          <w:tcPr>
            <w:tcW w:w="414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Total Voting Age Pop. (VAP)</w:t>
            </w:r>
          </w:p>
        </w:tc>
        <w:tc>
          <w:tcPr>
            <w:tcW w:w="771"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6,714</w:t>
            </w:r>
          </w:p>
        </w:tc>
        <w:tc>
          <w:tcPr>
            <w:tcW w:w="1585" w:type="dxa"/>
            <w:tcBorders>
              <w:top w:val="nil"/>
              <w:left w:val="nil"/>
              <w:bottom w:val="single" w:sz="8" w:space="0" w:color="auto"/>
              <w:right w:val="nil"/>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Census 2020</w:t>
            </w:r>
          </w:p>
        </w:tc>
        <w:tc>
          <w:tcPr>
            <w:tcW w:w="0" w:type="auto"/>
            <w:vMerge/>
            <w:tcBorders>
              <w:top w:val="nil"/>
              <w:left w:val="single" w:sz="8" w:space="0" w:color="auto"/>
              <w:bottom w:val="single" w:sz="8" w:space="0" w:color="auto"/>
              <w:right w:val="single" w:sz="8" w:space="0" w:color="auto"/>
            </w:tcBorders>
            <w:vAlign w:val="center"/>
            <w:hideMark/>
          </w:tcPr>
          <w:p w:rsidR="00217696" w:rsidRDefault="00217696" w:rsidP="00345DF5">
            <w:pPr>
              <w:rPr>
                <w:b/>
                <w:bCs/>
                <w:color w:val="1F4E79"/>
                <w:sz w:val="20"/>
                <w:szCs w:val="20"/>
              </w:rPr>
            </w:pPr>
          </w:p>
        </w:tc>
      </w:tr>
      <w:tr w:rsidR="00217696" w:rsidTr="00217696">
        <w:trPr>
          <w:trHeight w:val="630"/>
          <w:jc w:val="center"/>
        </w:trPr>
        <w:tc>
          <w:tcPr>
            <w:tcW w:w="41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Total Registered Voter Count from SVRS (county spatial query)</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4,895</w:t>
            </w:r>
          </w:p>
        </w:tc>
        <w:tc>
          <w:tcPr>
            <w:tcW w:w="1585" w:type="dxa"/>
            <w:tcBorders>
              <w:top w:val="nil"/>
              <w:left w:val="nil"/>
              <w:bottom w:val="single" w:sz="8" w:space="0" w:color="auto"/>
              <w:right w:val="nil"/>
            </w:tcBorders>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SVRS</w:t>
            </w:r>
          </w:p>
        </w:tc>
        <w:tc>
          <w:tcPr>
            <w:tcW w:w="7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 xml:space="preserve">The total registered voters from a recent SVRS data export shows </w:t>
            </w:r>
            <w:r>
              <w:rPr>
                <w:b/>
                <w:bCs/>
                <w:color w:val="1F4E79"/>
                <w:sz w:val="20"/>
                <w:szCs w:val="20"/>
              </w:rPr>
              <w:t>4,895</w:t>
            </w:r>
            <w:r>
              <w:rPr>
                <w:color w:val="1F4E79"/>
                <w:sz w:val="20"/>
                <w:szCs w:val="20"/>
              </w:rPr>
              <w:t xml:space="preserve"> </w:t>
            </w:r>
            <w:r>
              <w:rPr>
                <w:color w:val="000000"/>
                <w:sz w:val="20"/>
                <w:szCs w:val="20"/>
              </w:rPr>
              <w:t xml:space="preserve">registered voters, of which </w:t>
            </w:r>
            <w:r>
              <w:rPr>
                <w:b/>
                <w:bCs/>
                <w:color w:val="1F4E79"/>
                <w:sz w:val="20"/>
                <w:szCs w:val="20"/>
              </w:rPr>
              <w:t>3,504</w:t>
            </w:r>
            <w:r>
              <w:rPr>
                <w:color w:val="1F4E79"/>
                <w:sz w:val="20"/>
                <w:szCs w:val="20"/>
              </w:rPr>
              <w:t xml:space="preserve"> </w:t>
            </w:r>
            <w:r>
              <w:rPr>
                <w:color w:val="000000"/>
                <w:sz w:val="20"/>
                <w:szCs w:val="20"/>
              </w:rPr>
              <w:t>of the addresses were successfully geocoded or spatially pinpointed to the building location.  Refer to the Address Match Error Lists for addresses that did not match.</w:t>
            </w:r>
          </w:p>
        </w:tc>
      </w:tr>
      <w:tr w:rsidR="00217696" w:rsidTr="00217696">
        <w:trPr>
          <w:trHeight w:val="255"/>
          <w:jc w:val="center"/>
        </w:trPr>
        <w:tc>
          <w:tcPr>
            <w:tcW w:w="41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Total Registered Voters Geocoded</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17696" w:rsidRDefault="00217696" w:rsidP="00345DF5">
            <w:pPr>
              <w:jc w:val="center"/>
              <w:rPr>
                <w:color w:val="000000"/>
                <w:sz w:val="20"/>
                <w:szCs w:val="20"/>
              </w:rPr>
            </w:pPr>
            <w:r>
              <w:rPr>
                <w:color w:val="000000"/>
                <w:sz w:val="20"/>
                <w:szCs w:val="20"/>
              </w:rPr>
              <w:t>3,504</w:t>
            </w:r>
          </w:p>
        </w:tc>
        <w:tc>
          <w:tcPr>
            <w:tcW w:w="1585" w:type="dxa"/>
            <w:tcBorders>
              <w:top w:val="nil"/>
              <w:left w:val="nil"/>
              <w:bottom w:val="single" w:sz="8" w:space="0" w:color="auto"/>
              <w:right w:val="nil"/>
            </w:tcBorders>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SVRS Addresses</w:t>
            </w:r>
          </w:p>
        </w:tc>
        <w:tc>
          <w:tcPr>
            <w:tcW w:w="0" w:type="auto"/>
            <w:vMerge/>
            <w:tcBorders>
              <w:top w:val="nil"/>
              <w:left w:val="single" w:sz="8" w:space="0" w:color="auto"/>
              <w:bottom w:val="single" w:sz="8" w:space="0" w:color="auto"/>
              <w:right w:val="single" w:sz="8" w:space="0" w:color="auto"/>
            </w:tcBorders>
            <w:vAlign w:val="center"/>
            <w:hideMark/>
          </w:tcPr>
          <w:p w:rsidR="00217696" w:rsidRDefault="00217696" w:rsidP="00345DF5">
            <w:pPr>
              <w:rPr>
                <w:color w:val="000000"/>
                <w:sz w:val="20"/>
                <w:szCs w:val="20"/>
              </w:rPr>
            </w:pPr>
          </w:p>
        </w:tc>
      </w:tr>
      <w:tr w:rsidR="00217696" w:rsidTr="00217696">
        <w:trPr>
          <w:trHeight w:val="255"/>
          <w:jc w:val="center"/>
        </w:trPr>
        <w:tc>
          <w:tcPr>
            <w:tcW w:w="41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17696" w:rsidRDefault="00217696" w:rsidP="00345DF5">
            <w:pPr>
              <w:rPr>
                <w:color w:val="000000"/>
                <w:sz w:val="18"/>
                <w:szCs w:val="18"/>
              </w:rPr>
            </w:pPr>
            <w:r>
              <w:rPr>
                <w:color w:val="000000"/>
                <w:sz w:val="18"/>
                <w:szCs w:val="18"/>
              </w:rPr>
              <w:t>Note:  Census 2020 Population verification</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17696" w:rsidRDefault="00217696" w:rsidP="00345DF5">
            <w:pPr>
              <w:jc w:val="center"/>
              <w:rPr>
                <w:color w:val="808080"/>
                <w:sz w:val="20"/>
                <w:szCs w:val="20"/>
              </w:rPr>
            </w:pPr>
            <w:r>
              <w:rPr>
                <w:color w:val="808080"/>
                <w:sz w:val="20"/>
                <w:szCs w:val="20"/>
              </w:rPr>
              <w:t>8,378</w:t>
            </w:r>
          </w:p>
        </w:tc>
        <w:tc>
          <w:tcPr>
            <w:tcW w:w="1585" w:type="dxa"/>
            <w:tcBorders>
              <w:top w:val="nil"/>
              <w:left w:val="nil"/>
              <w:bottom w:val="single" w:sz="8" w:space="0" w:color="auto"/>
              <w:right w:val="nil"/>
            </w:tcBorders>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 </w:t>
            </w:r>
          </w:p>
        </w:tc>
        <w:tc>
          <w:tcPr>
            <w:tcW w:w="7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17696" w:rsidRDefault="00217696" w:rsidP="00345DF5">
            <w:pPr>
              <w:rPr>
                <w:color w:val="0563C1"/>
                <w:sz w:val="18"/>
                <w:szCs w:val="18"/>
                <w:u w:val="single"/>
              </w:rPr>
            </w:pPr>
            <w:hyperlink r:id="rId6" w:history="1">
              <w:r>
                <w:rPr>
                  <w:rStyle w:val="Hyperlink"/>
                  <w:sz w:val="18"/>
                  <w:szCs w:val="18"/>
                </w:rPr>
                <w:t>https://www.census.gov/quickfacts/fact/table/greenbriercountywestvirginia/</w:t>
              </w:r>
            </w:hyperlink>
          </w:p>
        </w:tc>
      </w:tr>
      <w:tr w:rsidR="00217696" w:rsidTr="00217696">
        <w:trPr>
          <w:trHeight w:val="255"/>
          <w:jc w:val="center"/>
        </w:trPr>
        <w:tc>
          <w:tcPr>
            <w:tcW w:w="4148" w:type="dxa"/>
            <w:tcBorders>
              <w:top w:val="nil"/>
              <w:left w:val="single" w:sz="8" w:space="0" w:color="auto"/>
              <w:bottom w:val="single" w:sz="8" w:space="0" w:color="auto"/>
              <w:right w:val="single" w:sz="8" w:space="0" w:color="auto"/>
            </w:tcBorders>
            <w:shd w:val="clear" w:color="auto" w:fill="305496"/>
            <w:tcMar>
              <w:top w:w="0" w:type="dxa"/>
              <w:left w:w="108" w:type="dxa"/>
              <w:bottom w:w="0" w:type="dxa"/>
              <w:right w:w="108" w:type="dxa"/>
            </w:tcMar>
            <w:hideMark/>
          </w:tcPr>
          <w:p w:rsidR="00217696" w:rsidRDefault="00217696" w:rsidP="00345DF5">
            <w:pPr>
              <w:rPr>
                <w:b/>
                <w:bCs/>
                <w:color w:val="FFFFFF"/>
                <w:sz w:val="20"/>
                <w:szCs w:val="20"/>
              </w:rPr>
            </w:pPr>
            <w:r>
              <w:rPr>
                <w:b/>
                <w:bCs/>
                <w:color w:val="FFFFFF"/>
                <w:sz w:val="20"/>
                <w:szCs w:val="20"/>
              </w:rPr>
              <w:t>Mismatch List (V1)</w:t>
            </w:r>
          </w:p>
        </w:tc>
        <w:tc>
          <w:tcPr>
            <w:tcW w:w="771" w:type="dxa"/>
            <w:tcBorders>
              <w:top w:val="nil"/>
              <w:left w:val="nil"/>
              <w:bottom w:val="single" w:sz="8" w:space="0" w:color="auto"/>
              <w:right w:val="single" w:sz="8" w:space="0" w:color="auto"/>
            </w:tcBorders>
            <w:shd w:val="clear" w:color="auto" w:fill="305496"/>
            <w:noWrap/>
            <w:tcMar>
              <w:top w:w="0" w:type="dxa"/>
              <w:left w:w="108" w:type="dxa"/>
              <w:bottom w:w="0" w:type="dxa"/>
              <w:right w:w="108" w:type="dxa"/>
            </w:tcMar>
            <w:hideMark/>
          </w:tcPr>
          <w:p w:rsidR="00217696" w:rsidRDefault="00217696" w:rsidP="00345DF5">
            <w:pPr>
              <w:jc w:val="center"/>
              <w:rPr>
                <w:b/>
                <w:bCs/>
                <w:color w:val="FFFFFF"/>
                <w:sz w:val="20"/>
                <w:szCs w:val="20"/>
              </w:rPr>
            </w:pPr>
            <w:r>
              <w:rPr>
                <w:b/>
                <w:bCs/>
                <w:color w:val="FFFFFF"/>
                <w:sz w:val="20"/>
                <w:szCs w:val="20"/>
              </w:rPr>
              <w:t> </w:t>
            </w:r>
          </w:p>
        </w:tc>
        <w:tc>
          <w:tcPr>
            <w:tcW w:w="1585" w:type="dxa"/>
            <w:tcBorders>
              <w:top w:val="nil"/>
              <w:left w:val="nil"/>
              <w:bottom w:val="single" w:sz="8" w:space="0" w:color="auto"/>
              <w:right w:val="nil"/>
            </w:tcBorders>
            <w:shd w:val="clear" w:color="auto" w:fill="305496"/>
            <w:noWrap/>
            <w:tcMar>
              <w:top w:w="0" w:type="dxa"/>
              <w:left w:w="108" w:type="dxa"/>
              <w:bottom w:w="0" w:type="dxa"/>
              <w:right w:w="108" w:type="dxa"/>
            </w:tcMar>
            <w:hideMark/>
          </w:tcPr>
          <w:p w:rsidR="00217696" w:rsidRDefault="00217696" w:rsidP="00345DF5">
            <w:pPr>
              <w:jc w:val="center"/>
              <w:rPr>
                <w:b/>
                <w:bCs/>
                <w:color w:val="FFFFFF"/>
                <w:sz w:val="20"/>
                <w:szCs w:val="20"/>
              </w:rPr>
            </w:pPr>
            <w:r>
              <w:rPr>
                <w:b/>
                <w:bCs/>
                <w:color w:val="FFFFFF"/>
                <w:sz w:val="20"/>
                <w:szCs w:val="20"/>
              </w:rPr>
              <w:t> </w:t>
            </w:r>
          </w:p>
        </w:tc>
        <w:tc>
          <w:tcPr>
            <w:tcW w:w="7720" w:type="dxa"/>
            <w:tcBorders>
              <w:top w:val="nil"/>
              <w:left w:val="single" w:sz="8" w:space="0" w:color="auto"/>
              <w:bottom w:val="single" w:sz="8" w:space="0" w:color="auto"/>
              <w:right w:val="single" w:sz="8" w:space="0" w:color="auto"/>
            </w:tcBorders>
            <w:shd w:val="clear" w:color="auto" w:fill="305496"/>
            <w:tcMar>
              <w:top w:w="0" w:type="dxa"/>
              <w:left w:w="108" w:type="dxa"/>
              <w:bottom w:w="0" w:type="dxa"/>
              <w:right w:w="108" w:type="dxa"/>
            </w:tcMar>
            <w:hideMark/>
          </w:tcPr>
          <w:p w:rsidR="00217696" w:rsidRDefault="00217696" w:rsidP="00345DF5">
            <w:pPr>
              <w:jc w:val="center"/>
              <w:rPr>
                <w:b/>
                <w:bCs/>
                <w:color w:val="FFFFFF"/>
                <w:sz w:val="20"/>
                <w:szCs w:val="20"/>
              </w:rPr>
            </w:pPr>
            <w:r>
              <w:rPr>
                <w:b/>
                <w:bCs/>
                <w:color w:val="FFFFFF"/>
                <w:sz w:val="20"/>
                <w:szCs w:val="20"/>
              </w:rPr>
              <w:t>What does it mean?</w:t>
            </w:r>
          </w:p>
        </w:tc>
      </w:tr>
      <w:tr w:rsidR="00217696" w:rsidTr="00217696">
        <w:trPr>
          <w:trHeight w:val="255"/>
          <w:jc w:val="center"/>
        </w:trPr>
        <w:tc>
          <w:tcPr>
            <w:tcW w:w="414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sz w:val="20"/>
                <w:szCs w:val="20"/>
              </w:rPr>
            </w:pPr>
            <w:r>
              <w:rPr>
                <w:color w:val="000000"/>
                <w:sz w:val="20"/>
                <w:szCs w:val="20"/>
              </w:rPr>
              <w:t>Total Voting Register Records</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17696" w:rsidRDefault="00217696" w:rsidP="00345DF5">
            <w:pPr>
              <w:jc w:val="center"/>
              <w:rPr>
                <w:sz w:val="20"/>
                <w:szCs w:val="20"/>
              </w:rPr>
            </w:pPr>
            <w:r>
              <w:rPr>
                <w:sz w:val="20"/>
                <w:szCs w:val="20"/>
              </w:rPr>
              <w:t>4,895</w:t>
            </w:r>
          </w:p>
        </w:tc>
        <w:tc>
          <w:tcPr>
            <w:tcW w:w="1585" w:type="dxa"/>
            <w:tcBorders>
              <w:top w:val="nil"/>
              <w:left w:val="nil"/>
              <w:bottom w:val="single" w:sz="8" w:space="0" w:color="auto"/>
              <w:right w:val="nil"/>
            </w:tcBorders>
            <w:shd w:val="clear" w:color="auto" w:fill="F2F2F2"/>
            <w:noWrap/>
            <w:tcMar>
              <w:top w:w="0" w:type="dxa"/>
              <w:left w:w="108" w:type="dxa"/>
              <w:bottom w:w="0" w:type="dxa"/>
              <w:right w:w="108" w:type="dxa"/>
            </w:tcMar>
            <w:vAlign w:val="center"/>
            <w:hideMark/>
          </w:tcPr>
          <w:p w:rsidR="00217696" w:rsidRDefault="00217696" w:rsidP="00345DF5">
            <w:pPr>
              <w:jc w:val="center"/>
              <w:rPr>
                <w:sz w:val="20"/>
                <w:szCs w:val="20"/>
              </w:rPr>
            </w:pPr>
            <w:r>
              <w:rPr>
                <w:color w:val="000000"/>
                <w:sz w:val="20"/>
                <w:szCs w:val="20"/>
              </w:rPr>
              <w:t>SVRS Addresses</w:t>
            </w:r>
          </w:p>
        </w:tc>
        <w:tc>
          <w:tcPr>
            <w:tcW w:w="772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sz w:val="20"/>
                <w:szCs w:val="20"/>
              </w:rPr>
            </w:pPr>
            <w:r>
              <w:rPr>
                <w:color w:val="000000"/>
                <w:sz w:val="20"/>
                <w:szCs w:val="20"/>
              </w:rPr>
              <w:t>Total voting register records from SVRS data export.</w:t>
            </w:r>
          </w:p>
        </w:tc>
      </w:tr>
      <w:tr w:rsidR="00217696" w:rsidTr="00217696">
        <w:trPr>
          <w:trHeight w:val="255"/>
          <w:jc w:val="center"/>
        </w:trPr>
        <w:tc>
          <w:tcPr>
            <w:tcW w:w="414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sz w:val="20"/>
                <w:szCs w:val="20"/>
              </w:rPr>
            </w:pPr>
            <w:r>
              <w:rPr>
                <w:color w:val="000000"/>
                <w:sz w:val="20"/>
                <w:szCs w:val="20"/>
              </w:rPr>
              <w:t>Total Registered Voters Geocoded</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17696" w:rsidRDefault="00217696" w:rsidP="00345DF5">
            <w:pPr>
              <w:jc w:val="center"/>
              <w:rPr>
                <w:sz w:val="20"/>
                <w:szCs w:val="20"/>
              </w:rPr>
            </w:pPr>
            <w:r>
              <w:rPr>
                <w:sz w:val="20"/>
                <w:szCs w:val="20"/>
              </w:rPr>
              <w:t>3,504</w:t>
            </w:r>
          </w:p>
        </w:tc>
        <w:tc>
          <w:tcPr>
            <w:tcW w:w="1585" w:type="dxa"/>
            <w:tcBorders>
              <w:top w:val="nil"/>
              <w:left w:val="nil"/>
              <w:bottom w:val="single" w:sz="8" w:space="0" w:color="auto"/>
              <w:right w:val="nil"/>
            </w:tcBorders>
            <w:shd w:val="clear" w:color="auto" w:fill="F2F2F2"/>
            <w:noWrap/>
            <w:tcMar>
              <w:top w:w="0" w:type="dxa"/>
              <w:left w:w="108" w:type="dxa"/>
              <w:bottom w:w="0" w:type="dxa"/>
              <w:right w:w="108" w:type="dxa"/>
            </w:tcMar>
            <w:vAlign w:val="bottom"/>
            <w:hideMark/>
          </w:tcPr>
          <w:p w:rsidR="00217696" w:rsidRDefault="00217696" w:rsidP="00345DF5">
            <w:pPr>
              <w:jc w:val="center"/>
              <w:rPr>
                <w:sz w:val="20"/>
                <w:szCs w:val="20"/>
              </w:rPr>
            </w:pPr>
            <w:r>
              <w:rPr>
                <w:color w:val="000000"/>
                <w:sz w:val="20"/>
                <w:szCs w:val="20"/>
              </w:rPr>
              <w:t>SVRS Addresses</w:t>
            </w:r>
          </w:p>
        </w:tc>
        <w:tc>
          <w:tcPr>
            <w:tcW w:w="772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sz w:val="20"/>
                <w:szCs w:val="20"/>
              </w:rPr>
            </w:pPr>
            <w:r>
              <w:rPr>
                <w:color w:val="000000"/>
                <w:sz w:val="20"/>
                <w:szCs w:val="20"/>
              </w:rPr>
              <w:t>Total SVRS records address matched to site or pinpointed to building location.</w:t>
            </w:r>
          </w:p>
        </w:tc>
      </w:tr>
      <w:tr w:rsidR="00217696" w:rsidTr="00217696">
        <w:trPr>
          <w:trHeight w:val="765"/>
          <w:jc w:val="center"/>
        </w:trPr>
        <w:tc>
          <w:tcPr>
            <w:tcW w:w="414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Total Mismatch Records</w:t>
            </w:r>
          </w:p>
        </w:tc>
        <w:tc>
          <w:tcPr>
            <w:tcW w:w="771"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448</w:t>
            </w:r>
          </w:p>
        </w:tc>
        <w:tc>
          <w:tcPr>
            <w:tcW w:w="1585" w:type="dxa"/>
            <w:tcBorders>
              <w:top w:val="nil"/>
              <w:left w:val="nil"/>
              <w:bottom w:val="single" w:sz="8" w:space="0" w:color="auto"/>
              <w:right w:val="nil"/>
            </w:tcBorders>
            <w:shd w:val="clear" w:color="auto" w:fill="FFFFCC"/>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SVRS / GEO</w:t>
            </w:r>
          </w:p>
        </w:tc>
        <w:tc>
          <w:tcPr>
            <w:tcW w:w="772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 xml:space="preserve">The </w:t>
            </w:r>
            <w:r>
              <w:rPr>
                <w:b/>
                <w:bCs/>
                <w:color w:val="000000"/>
                <w:sz w:val="20"/>
                <w:szCs w:val="20"/>
              </w:rPr>
              <w:t xml:space="preserve">Mismatch Error List </w:t>
            </w:r>
            <w:r>
              <w:rPr>
                <w:color w:val="000000"/>
                <w:sz w:val="20"/>
                <w:szCs w:val="20"/>
              </w:rPr>
              <w:t xml:space="preserve">identifies discrepancies between the State’s Voting Registration System (SVRS) and </w:t>
            </w:r>
            <w:proofErr w:type="spellStart"/>
            <w:r>
              <w:rPr>
                <w:color w:val="000000"/>
                <w:sz w:val="20"/>
                <w:szCs w:val="20"/>
              </w:rPr>
              <w:t>GEOgraphic</w:t>
            </w:r>
            <w:proofErr w:type="spellEnd"/>
            <w:r>
              <w:rPr>
                <w:color w:val="000000"/>
                <w:sz w:val="20"/>
                <w:szCs w:val="20"/>
              </w:rPr>
              <w:t xml:space="preserve"> map files.  Mismatched records are listed for the following election entities:  Precinct, Magisterial, State House, State Senate, and Congressional.</w:t>
            </w:r>
          </w:p>
        </w:tc>
      </w:tr>
      <w:tr w:rsidR="00217696" w:rsidTr="00217696">
        <w:trPr>
          <w:trHeight w:val="255"/>
          <w:jc w:val="center"/>
        </w:trPr>
        <w:tc>
          <w:tcPr>
            <w:tcW w:w="414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17696" w:rsidRDefault="00217696" w:rsidP="00345DF5">
            <w:pPr>
              <w:rPr>
                <w:b/>
                <w:bCs/>
                <w:color w:val="FF0000"/>
                <w:sz w:val="20"/>
                <w:szCs w:val="20"/>
              </w:rPr>
            </w:pPr>
            <w:r>
              <w:rPr>
                <w:b/>
                <w:bCs/>
                <w:color w:val="FF0000"/>
                <w:sz w:val="20"/>
                <w:szCs w:val="20"/>
              </w:rPr>
              <w:t>Mismatch % Countywide</w:t>
            </w:r>
          </w:p>
        </w:tc>
        <w:tc>
          <w:tcPr>
            <w:tcW w:w="771"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center"/>
            <w:hideMark/>
          </w:tcPr>
          <w:p w:rsidR="00217696" w:rsidRDefault="00217696" w:rsidP="00345DF5">
            <w:pPr>
              <w:jc w:val="center"/>
              <w:rPr>
                <w:b/>
                <w:bCs/>
                <w:color w:val="FF0000"/>
                <w:sz w:val="20"/>
                <w:szCs w:val="20"/>
              </w:rPr>
            </w:pPr>
            <w:r>
              <w:rPr>
                <w:b/>
                <w:bCs/>
                <w:color w:val="FF0000"/>
                <w:sz w:val="20"/>
                <w:szCs w:val="20"/>
              </w:rPr>
              <w:t>13%</w:t>
            </w:r>
          </w:p>
        </w:tc>
        <w:tc>
          <w:tcPr>
            <w:tcW w:w="1585" w:type="dxa"/>
            <w:tcBorders>
              <w:top w:val="nil"/>
              <w:left w:val="nil"/>
              <w:bottom w:val="single" w:sz="8" w:space="0" w:color="auto"/>
              <w:right w:val="nil"/>
            </w:tcBorders>
            <w:shd w:val="clear" w:color="auto" w:fill="FFFFCC"/>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computed</w:t>
            </w:r>
          </w:p>
        </w:tc>
        <w:tc>
          <w:tcPr>
            <w:tcW w:w="772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Mismatch percentage countywide for election entities (SVRS site geocoded records only)</w:t>
            </w:r>
          </w:p>
        </w:tc>
      </w:tr>
      <w:tr w:rsidR="00217696" w:rsidTr="00217696">
        <w:trPr>
          <w:trHeight w:val="255"/>
          <w:jc w:val="center"/>
        </w:trPr>
        <w:tc>
          <w:tcPr>
            <w:tcW w:w="414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17696" w:rsidRDefault="00217696" w:rsidP="00345DF5">
            <w:pPr>
              <w:rPr>
                <w:b/>
                <w:bCs/>
                <w:color w:val="FF0000"/>
                <w:sz w:val="20"/>
                <w:szCs w:val="20"/>
              </w:rPr>
            </w:pPr>
            <w:r>
              <w:rPr>
                <w:b/>
                <w:bCs/>
                <w:color w:val="FF0000"/>
                <w:sz w:val="20"/>
                <w:szCs w:val="20"/>
              </w:rPr>
              <w:t>Voting Precinct</w:t>
            </w:r>
          </w:p>
        </w:tc>
        <w:tc>
          <w:tcPr>
            <w:tcW w:w="771"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center"/>
            <w:hideMark/>
          </w:tcPr>
          <w:p w:rsidR="00217696" w:rsidRDefault="00217696" w:rsidP="00345DF5">
            <w:pPr>
              <w:jc w:val="center"/>
              <w:rPr>
                <w:b/>
                <w:bCs/>
                <w:color w:val="FF0000"/>
                <w:sz w:val="20"/>
                <w:szCs w:val="20"/>
              </w:rPr>
            </w:pPr>
            <w:r>
              <w:rPr>
                <w:b/>
                <w:bCs/>
                <w:color w:val="FF0000"/>
                <w:sz w:val="20"/>
                <w:szCs w:val="20"/>
              </w:rPr>
              <w:t>322</w:t>
            </w:r>
          </w:p>
        </w:tc>
        <w:tc>
          <w:tcPr>
            <w:tcW w:w="1585" w:type="dxa"/>
            <w:tcBorders>
              <w:top w:val="nil"/>
              <w:left w:val="nil"/>
              <w:bottom w:val="single" w:sz="8" w:space="0" w:color="auto"/>
              <w:right w:val="nil"/>
            </w:tcBorders>
            <w:shd w:val="clear" w:color="auto" w:fill="FFFFCC"/>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SVRS / GEO</w:t>
            </w:r>
          </w:p>
        </w:tc>
        <w:tc>
          <w:tcPr>
            <w:tcW w:w="7720" w:type="dxa"/>
            <w:vMerge w:val="restart"/>
            <w:tcBorders>
              <w:top w:val="nil"/>
              <w:left w:val="single" w:sz="8" w:space="0" w:color="auto"/>
              <w:bottom w:val="single" w:sz="8" w:space="0" w:color="000000"/>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 xml:space="preserve">For </w:t>
            </w:r>
            <w:r>
              <w:rPr>
                <w:b/>
                <w:bCs/>
                <w:color w:val="1F4E79"/>
                <w:sz w:val="20"/>
                <w:szCs w:val="20"/>
              </w:rPr>
              <w:t>Webster County</w:t>
            </w:r>
            <w:r>
              <w:rPr>
                <w:color w:val="000000"/>
                <w:sz w:val="20"/>
                <w:szCs w:val="20"/>
              </w:rPr>
              <w:t xml:space="preserve">, there are </w:t>
            </w:r>
            <w:r>
              <w:rPr>
                <w:b/>
                <w:bCs/>
                <w:color w:val="1F4E79"/>
                <w:sz w:val="20"/>
                <w:szCs w:val="20"/>
              </w:rPr>
              <w:t>448</w:t>
            </w:r>
            <w:r>
              <w:rPr>
                <w:color w:val="1F4E79"/>
                <w:sz w:val="20"/>
                <w:szCs w:val="20"/>
              </w:rPr>
              <w:t xml:space="preserve"> </w:t>
            </w:r>
            <w:r>
              <w:rPr>
                <w:color w:val="000000"/>
                <w:sz w:val="20"/>
                <w:szCs w:val="20"/>
              </w:rPr>
              <w:t>mismatched records when the SVRS district boundaries (Precincts, Magisterial, State House, State Senate, and Congressional) are compared to the GIS election boundary files.  Of the 448 mismatched records, the breakdown is as follows:  322 Precincts, 209 Magisterial, 1 House, 0 Senate, and 0 Congressional errors.</w:t>
            </w:r>
          </w:p>
        </w:tc>
        <w:bookmarkStart w:id="0" w:name="_GoBack"/>
        <w:bookmarkEnd w:id="0"/>
      </w:tr>
      <w:tr w:rsidR="00217696" w:rsidTr="00217696">
        <w:trPr>
          <w:trHeight w:val="255"/>
          <w:jc w:val="center"/>
        </w:trPr>
        <w:tc>
          <w:tcPr>
            <w:tcW w:w="414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Magisterial District</w:t>
            </w:r>
          </w:p>
        </w:tc>
        <w:tc>
          <w:tcPr>
            <w:tcW w:w="771"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209</w:t>
            </w:r>
          </w:p>
        </w:tc>
        <w:tc>
          <w:tcPr>
            <w:tcW w:w="1585" w:type="dxa"/>
            <w:tcBorders>
              <w:top w:val="nil"/>
              <w:left w:val="nil"/>
              <w:bottom w:val="single" w:sz="8" w:space="0" w:color="auto"/>
              <w:right w:val="nil"/>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SVRS / GEO</w:t>
            </w:r>
          </w:p>
        </w:tc>
        <w:tc>
          <w:tcPr>
            <w:tcW w:w="0" w:type="auto"/>
            <w:vMerge/>
            <w:tcBorders>
              <w:top w:val="nil"/>
              <w:left w:val="single" w:sz="8" w:space="0" w:color="auto"/>
              <w:bottom w:val="single" w:sz="8" w:space="0" w:color="000000"/>
              <w:right w:val="single" w:sz="8" w:space="0" w:color="auto"/>
            </w:tcBorders>
            <w:vAlign w:val="center"/>
            <w:hideMark/>
          </w:tcPr>
          <w:p w:rsidR="00217696" w:rsidRDefault="00217696" w:rsidP="00345DF5">
            <w:pPr>
              <w:rPr>
                <w:color w:val="000000"/>
                <w:sz w:val="20"/>
                <w:szCs w:val="20"/>
              </w:rPr>
            </w:pPr>
          </w:p>
        </w:tc>
      </w:tr>
      <w:tr w:rsidR="00217696" w:rsidTr="00217696">
        <w:trPr>
          <w:trHeight w:val="255"/>
          <w:jc w:val="center"/>
        </w:trPr>
        <w:tc>
          <w:tcPr>
            <w:tcW w:w="414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State House Legislative District</w:t>
            </w:r>
          </w:p>
        </w:tc>
        <w:tc>
          <w:tcPr>
            <w:tcW w:w="771"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1</w:t>
            </w:r>
          </w:p>
        </w:tc>
        <w:tc>
          <w:tcPr>
            <w:tcW w:w="1585" w:type="dxa"/>
            <w:tcBorders>
              <w:top w:val="nil"/>
              <w:left w:val="nil"/>
              <w:bottom w:val="single" w:sz="8" w:space="0" w:color="auto"/>
              <w:right w:val="nil"/>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SVRS / GEO</w:t>
            </w:r>
          </w:p>
        </w:tc>
        <w:tc>
          <w:tcPr>
            <w:tcW w:w="0" w:type="auto"/>
            <w:vMerge/>
            <w:tcBorders>
              <w:top w:val="nil"/>
              <w:left w:val="single" w:sz="8" w:space="0" w:color="auto"/>
              <w:bottom w:val="single" w:sz="8" w:space="0" w:color="000000"/>
              <w:right w:val="single" w:sz="8" w:space="0" w:color="auto"/>
            </w:tcBorders>
            <w:vAlign w:val="center"/>
            <w:hideMark/>
          </w:tcPr>
          <w:p w:rsidR="00217696" w:rsidRDefault="00217696" w:rsidP="00345DF5">
            <w:pPr>
              <w:rPr>
                <w:color w:val="000000"/>
                <w:sz w:val="20"/>
                <w:szCs w:val="20"/>
              </w:rPr>
            </w:pPr>
          </w:p>
        </w:tc>
      </w:tr>
      <w:tr w:rsidR="00217696" w:rsidTr="00217696">
        <w:trPr>
          <w:trHeight w:val="255"/>
          <w:jc w:val="center"/>
        </w:trPr>
        <w:tc>
          <w:tcPr>
            <w:tcW w:w="414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State Senate Legislative District</w:t>
            </w:r>
          </w:p>
        </w:tc>
        <w:tc>
          <w:tcPr>
            <w:tcW w:w="771"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0</w:t>
            </w:r>
          </w:p>
        </w:tc>
        <w:tc>
          <w:tcPr>
            <w:tcW w:w="1585" w:type="dxa"/>
            <w:tcBorders>
              <w:top w:val="nil"/>
              <w:left w:val="nil"/>
              <w:bottom w:val="single" w:sz="8" w:space="0" w:color="auto"/>
              <w:right w:val="nil"/>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SVRS / GEO</w:t>
            </w:r>
          </w:p>
        </w:tc>
        <w:tc>
          <w:tcPr>
            <w:tcW w:w="0" w:type="auto"/>
            <w:vMerge/>
            <w:tcBorders>
              <w:top w:val="nil"/>
              <w:left w:val="single" w:sz="8" w:space="0" w:color="auto"/>
              <w:bottom w:val="single" w:sz="8" w:space="0" w:color="000000"/>
              <w:right w:val="single" w:sz="8" w:space="0" w:color="auto"/>
            </w:tcBorders>
            <w:vAlign w:val="center"/>
            <w:hideMark/>
          </w:tcPr>
          <w:p w:rsidR="00217696" w:rsidRDefault="00217696" w:rsidP="00345DF5">
            <w:pPr>
              <w:rPr>
                <w:color w:val="000000"/>
                <w:sz w:val="20"/>
                <w:szCs w:val="20"/>
              </w:rPr>
            </w:pPr>
          </w:p>
        </w:tc>
      </w:tr>
      <w:tr w:rsidR="00217696" w:rsidTr="00217696">
        <w:trPr>
          <w:trHeight w:val="270"/>
          <w:jc w:val="center"/>
        </w:trPr>
        <w:tc>
          <w:tcPr>
            <w:tcW w:w="414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17696" w:rsidRDefault="00217696" w:rsidP="00345DF5">
            <w:pPr>
              <w:rPr>
                <w:color w:val="000000"/>
                <w:sz w:val="20"/>
                <w:szCs w:val="20"/>
              </w:rPr>
            </w:pPr>
            <w:r>
              <w:rPr>
                <w:color w:val="000000"/>
                <w:sz w:val="20"/>
                <w:szCs w:val="20"/>
              </w:rPr>
              <w:t>Congressional District</w:t>
            </w:r>
          </w:p>
        </w:tc>
        <w:tc>
          <w:tcPr>
            <w:tcW w:w="771"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0</w:t>
            </w:r>
          </w:p>
        </w:tc>
        <w:tc>
          <w:tcPr>
            <w:tcW w:w="1585" w:type="dxa"/>
            <w:tcBorders>
              <w:top w:val="nil"/>
              <w:left w:val="nil"/>
              <w:bottom w:val="single" w:sz="8" w:space="0" w:color="auto"/>
              <w:right w:val="nil"/>
            </w:tcBorders>
            <w:shd w:val="clear" w:color="auto" w:fill="F2F2F2"/>
            <w:noWrap/>
            <w:tcMar>
              <w:top w:w="0" w:type="dxa"/>
              <w:left w:w="108" w:type="dxa"/>
              <w:bottom w:w="0" w:type="dxa"/>
              <w:right w:w="108" w:type="dxa"/>
            </w:tcMar>
            <w:vAlign w:val="center"/>
            <w:hideMark/>
          </w:tcPr>
          <w:p w:rsidR="00217696" w:rsidRDefault="00217696" w:rsidP="00345DF5">
            <w:pPr>
              <w:jc w:val="center"/>
              <w:rPr>
                <w:color w:val="000000"/>
                <w:sz w:val="20"/>
                <w:szCs w:val="20"/>
              </w:rPr>
            </w:pPr>
            <w:r>
              <w:rPr>
                <w:color w:val="000000"/>
                <w:sz w:val="20"/>
                <w:szCs w:val="20"/>
              </w:rPr>
              <w:t>SVRS / GEO</w:t>
            </w:r>
          </w:p>
        </w:tc>
        <w:tc>
          <w:tcPr>
            <w:tcW w:w="0" w:type="auto"/>
            <w:vMerge/>
            <w:tcBorders>
              <w:top w:val="nil"/>
              <w:left w:val="single" w:sz="8" w:space="0" w:color="auto"/>
              <w:bottom w:val="single" w:sz="8" w:space="0" w:color="000000"/>
              <w:right w:val="single" w:sz="8" w:space="0" w:color="auto"/>
            </w:tcBorders>
            <w:vAlign w:val="center"/>
            <w:hideMark/>
          </w:tcPr>
          <w:p w:rsidR="00217696" w:rsidRDefault="00217696" w:rsidP="00345DF5">
            <w:pPr>
              <w:rPr>
                <w:color w:val="000000"/>
                <w:sz w:val="20"/>
                <w:szCs w:val="20"/>
              </w:rPr>
            </w:pPr>
          </w:p>
        </w:tc>
      </w:tr>
    </w:tbl>
    <w:p w:rsidR="008B1165" w:rsidRPr="00217696" w:rsidRDefault="008B1165" w:rsidP="00217696"/>
    <w:sectPr w:rsidR="008B1165" w:rsidRPr="00217696" w:rsidSect="0021769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696" w:rsidRDefault="00217696" w:rsidP="00217696">
      <w:r>
        <w:separator/>
      </w:r>
    </w:p>
  </w:endnote>
  <w:endnote w:type="continuationSeparator" w:id="0">
    <w:p w:rsidR="00217696" w:rsidRDefault="00217696" w:rsidP="0021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696" w:rsidRDefault="00217696" w:rsidP="00217696">
      <w:r>
        <w:separator/>
      </w:r>
    </w:p>
  </w:footnote>
  <w:footnote w:type="continuationSeparator" w:id="0">
    <w:p w:rsidR="00217696" w:rsidRDefault="00217696" w:rsidP="00217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96"/>
    <w:rsid w:val="00217696"/>
    <w:rsid w:val="008B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D8DF"/>
  <w15:chartTrackingRefBased/>
  <w15:docId w15:val="{841E0C09-2046-4E80-A9BB-83CAB487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6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696"/>
    <w:rPr>
      <w:color w:val="0000FF"/>
      <w:u w:val="single"/>
    </w:rPr>
  </w:style>
  <w:style w:type="paragraph" w:styleId="Header">
    <w:name w:val="header"/>
    <w:basedOn w:val="Normal"/>
    <w:link w:val="HeaderChar"/>
    <w:uiPriority w:val="99"/>
    <w:unhideWhenUsed/>
    <w:rsid w:val="00217696"/>
    <w:pPr>
      <w:tabs>
        <w:tab w:val="center" w:pos="4680"/>
        <w:tab w:val="right" w:pos="9360"/>
      </w:tabs>
    </w:pPr>
  </w:style>
  <w:style w:type="character" w:customStyle="1" w:styleId="HeaderChar">
    <w:name w:val="Header Char"/>
    <w:basedOn w:val="DefaultParagraphFont"/>
    <w:link w:val="Header"/>
    <w:uiPriority w:val="99"/>
    <w:rsid w:val="00217696"/>
    <w:rPr>
      <w:rFonts w:ascii="Calibri" w:hAnsi="Calibri" w:cs="Calibri"/>
    </w:rPr>
  </w:style>
  <w:style w:type="paragraph" w:styleId="Footer">
    <w:name w:val="footer"/>
    <w:basedOn w:val="Normal"/>
    <w:link w:val="FooterChar"/>
    <w:uiPriority w:val="99"/>
    <w:unhideWhenUsed/>
    <w:rsid w:val="00217696"/>
    <w:pPr>
      <w:tabs>
        <w:tab w:val="center" w:pos="4680"/>
        <w:tab w:val="right" w:pos="9360"/>
      </w:tabs>
    </w:pPr>
  </w:style>
  <w:style w:type="character" w:customStyle="1" w:styleId="FooterChar">
    <w:name w:val="Footer Char"/>
    <w:basedOn w:val="DefaultParagraphFont"/>
    <w:link w:val="Footer"/>
    <w:uiPriority w:val="99"/>
    <w:rsid w:val="0021769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sus.gov/quickfacts/fact/table/greenbriercountywestvirgini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Johnna Murray</dc:creator>
  <cp:keywords/>
  <dc:description/>
  <cp:lastModifiedBy>Johnna Murray</cp:lastModifiedBy>
  <cp:revision>1</cp:revision>
  <dcterms:created xsi:type="dcterms:W3CDTF">2022-01-27T21:42:00Z</dcterms:created>
  <dcterms:modified xsi:type="dcterms:W3CDTF">2022-01-27T21:44:00Z</dcterms:modified>
</cp:coreProperties>
</file>