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0D4E" w14:textId="77777777" w:rsidR="005A27FC" w:rsidRDefault="005A27FC" w:rsidP="005A27FC">
      <w:pPr>
        <w:pStyle w:val="ListParagraph"/>
        <w:ind w:left="180"/>
        <w:jc w:val="center"/>
        <w:rPr>
          <w:b/>
          <w:bCs/>
          <w:color w:val="2F5496" w:themeColor="accent1" w:themeShade="BF"/>
          <w:sz w:val="40"/>
          <w:szCs w:val="40"/>
        </w:rPr>
      </w:pPr>
    </w:p>
    <w:p w14:paraId="37D618DA" w14:textId="4E8DD14B" w:rsidR="005A27FC" w:rsidRDefault="005A27FC" w:rsidP="005A27FC">
      <w:pPr>
        <w:pStyle w:val="ListParagraph"/>
        <w:ind w:left="180"/>
        <w:jc w:val="center"/>
        <w:rPr>
          <w:b/>
          <w:bCs/>
          <w:color w:val="2F5496" w:themeColor="accent1" w:themeShade="BF"/>
          <w:sz w:val="40"/>
          <w:szCs w:val="40"/>
        </w:rPr>
      </w:pPr>
    </w:p>
    <w:p w14:paraId="31A3061C" w14:textId="562E2E2C" w:rsidR="00D61C50" w:rsidRDefault="00D61C50" w:rsidP="005A27FC">
      <w:pPr>
        <w:pStyle w:val="ListParagraph"/>
        <w:ind w:left="180"/>
        <w:jc w:val="center"/>
        <w:rPr>
          <w:b/>
          <w:bCs/>
          <w:color w:val="2F5496" w:themeColor="accent1" w:themeShade="BF"/>
          <w:sz w:val="40"/>
          <w:szCs w:val="40"/>
        </w:rPr>
      </w:pPr>
    </w:p>
    <w:p w14:paraId="1AAE9291" w14:textId="77777777" w:rsidR="00D61C50" w:rsidRDefault="00D61C50" w:rsidP="005A27FC">
      <w:pPr>
        <w:pStyle w:val="ListParagraph"/>
        <w:ind w:left="180"/>
        <w:jc w:val="center"/>
        <w:rPr>
          <w:b/>
          <w:bCs/>
          <w:color w:val="2F5496" w:themeColor="accent1" w:themeShade="BF"/>
          <w:sz w:val="40"/>
          <w:szCs w:val="40"/>
        </w:rPr>
      </w:pPr>
    </w:p>
    <w:p w14:paraId="09128BDF" w14:textId="77777777" w:rsidR="005A27FC" w:rsidRDefault="005A27FC" w:rsidP="005A27FC">
      <w:pPr>
        <w:pStyle w:val="ListParagraph"/>
        <w:ind w:left="180"/>
        <w:jc w:val="center"/>
        <w:rPr>
          <w:b/>
          <w:bCs/>
          <w:color w:val="2F5496" w:themeColor="accent1" w:themeShade="BF"/>
          <w:sz w:val="40"/>
          <w:szCs w:val="40"/>
        </w:rPr>
      </w:pPr>
    </w:p>
    <w:p w14:paraId="046B64FD" w14:textId="77777777" w:rsidR="005A27FC" w:rsidRPr="00C43EDA" w:rsidRDefault="005A27FC" w:rsidP="005A27FC">
      <w:pPr>
        <w:pStyle w:val="ListParagraph"/>
        <w:ind w:left="0"/>
        <w:jc w:val="center"/>
        <w:rPr>
          <w:rFonts w:ascii="Arial Black" w:hAnsi="Arial Black"/>
          <w:b/>
          <w:bCs/>
          <w:color w:val="2F5496" w:themeColor="accent1" w:themeShade="BF"/>
          <w:sz w:val="48"/>
          <w:szCs w:val="48"/>
        </w:rPr>
      </w:pPr>
      <w:r w:rsidRPr="00C43EDA">
        <w:rPr>
          <w:rFonts w:ascii="Arial Black" w:hAnsi="Arial Black"/>
          <w:b/>
          <w:bCs/>
          <w:color w:val="2F5496" w:themeColor="accent1" w:themeShade="BF"/>
          <w:sz w:val="48"/>
          <w:szCs w:val="48"/>
        </w:rPr>
        <w:t>Watershed-level Flood Risk Summary Report</w:t>
      </w:r>
    </w:p>
    <w:p w14:paraId="5EAFC097" w14:textId="0889F662" w:rsidR="005A27FC" w:rsidRDefault="005A27FC" w:rsidP="005A27FC">
      <w:pPr>
        <w:pStyle w:val="ListParagraph"/>
        <w:ind w:left="0"/>
        <w:jc w:val="center"/>
        <w:rPr>
          <w:b/>
          <w:bCs/>
          <w:color w:val="2F5496" w:themeColor="accent1" w:themeShade="BF"/>
          <w:sz w:val="40"/>
          <w:szCs w:val="40"/>
        </w:rPr>
      </w:pPr>
    </w:p>
    <w:p w14:paraId="2FBDB3D1" w14:textId="6A3913B6" w:rsidR="00C43EDA" w:rsidRDefault="00C43EDA" w:rsidP="005A27FC">
      <w:pPr>
        <w:pStyle w:val="ListParagraph"/>
        <w:ind w:left="0"/>
        <w:jc w:val="center"/>
        <w:rPr>
          <w:b/>
          <w:bCs/>
          <w:color w:val="2F5496" w:themeColor="accent1" w:themeShade="BF"/>
          <w:sz w:val="40"/>
          <w:szCs w:val="40"/>
        </w:rPr>
      </w:pPr>
    </w:p>
    <w:p w14:paraId="2AB62215" w14:textId="284647DD" w:rsidR="00C43EDA" w:rsidRDefault="00C43EDA" w:rsidP="005A27FC">
      <w:pPr>
        <w:pStyle w:val="ListParagraph"/>
        <w:ind w:left="0"/>
        <w:jc w:val="center"/>
        <w:rPr>
          <w:b/>
          <w:bCs/>
          <w:color w:val="2F5496" w:themeColor="accent1" w:themeShade="BF"/>
          <w:sz w:val="40"/>
          <w:szCs w:val="40"/>
        </w:rPr>
      </w:pPr>
    </w:p>
    <w:p w14:paraId="6C4D1B4B" w14:textId="268E9ADB" w:rsidR="00C43EDA" w:rsidRDefault="00C43EDA" w:rsidP="005A27FC">
      <w:pPr>
        <w:pStyle w:val="ListParagraph"/>
        <w:ind w:left="0"/>
        <w:jc w:val="center"/>
        <w:rPr>
          <w:b/>
          <w:bCs/>
          <w:color w:val="2F5496" w:themeColor="accent1" w:themeShade="BF"/>
          <w:sz w:val="40"/>
          <w:szCs w:val="40"/>
        </w:rPr>
      </w:pPr>
    </w:p>
    <w:p w14:paraId="47D787AB" w14:textId="77777777" w:rsidR="00C43EDA" w:rsidRDefault="00C43EDA" w:rsidP="005A27FC">
      <w:pPr>
        <w:pStyle w:val="ListParagraph"/>
        <w:ind w:left="0"/>
        <w:jc w:val="center"/>
        <w:rPr>
          <w:b/>
          <w:bCs/>
          <w:color w:val="2F5496" w:themeColor="accent1" w:themeShade="BF"/>
          <w:sz w:val="40"/>
          <w:szCs w:val="40"/>
        </w:rPr>
      </w:pPr>
    </w:p>
    <w:p w14:paraId="0F5D5DB1" w14:textId="34702871" w:rsidR="005A27FC" w:rsidRDefault="00C43EDA" w:rsidP="005A27FC">
      <w:pPr>
        <w:pStyle w:val="ListParagraph"/>
        <w:ind w:left="0"/>
        <w:jc w:val="center"/>
        <w:rPr>
          <w:b/>
          <w:bCs/>
          <w:color w:val="2F5496" w:themeColor="accent1" w:themeShade="BF"/>
          <w:sz w:val="40"/>
          <w:szCs w:val="40"/>
        </w:rPr>
      </w:pPr>
      <w:r>
        <w:rPr>
          <w:noProof/>
        </w:rPr>
        <w:drawing>
          <wp:anchor distT="0" distB="0" distL="114300" distR="114300" simplePos="0" relativeHeight="251660288" behindDoc="0" locked="0" layoutInCell="1" allowOverlap="1" wp14:anchorId="5240C715" wp14:editId="475C9237">
            <wp:simplePos x="0" y="0"/>
            <wp:positionH relativeFrom="margin">
              <wp:align>center</wp:align>
            </wp:positionH>
            <wp:positionV relativeFrom="paragraph">
              <wp:posOffset>67586</wp:posOffset>
            </wp:positionV>
            <wp:extent cx="1677726" cy="171739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939" r="4053"/>
                    <a:stretch/>
                  </pic:blipFill>
                  <pic:spPr bwMode="auto">
                    <a:xfrm>
                      <a:off x="0" y="0"/>
                      <a:ext cx="1677726" cy="17173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6F6018" w14:textId="54899AF8" w:rsidR="005A27FC" w:rsidRDefault="005A27FC" w:rsidP="005A27FC">
      <w:pPr>
        <w:pStyle w:val="ListParagraph"/>
        <w:ind w:left="0"/>
        <w:jc w:val="center"/>
        <w:rPr>
          <w:b/>
          <w:bCs/>
          <w:color w:val="2F5496" w:themeColor="accent1" w:themeShade="BF"/>
          <w:sz w:val="40"/>
          <w:szCs w:val="40"/>
        </w:rPr>
      </w:pPr>
    </w:p>
    <w:p w14:paraId="15D5D9F7" w14:textId="2654CA92" w:rsidR="005A27FC" w:rsidRDefault="005A27FC" w:rsidP="005A27FC">
      <w:pPr>
        <w:pStyle w:val="ListParagraph"/>
        <w:ind w:left="0"/>
        <w:jc w:val="center"/>
        <w:rPr>
          <w:b/>
          <w:bCs/>
          <w:color w:val="2F5496" w:themeColor="accent1" w:themeShade="BF"/>
          <w:sz w:val="40"/>
          <w:szCs w:val="40"/>
        </w:rPr>
      </w:pPr>
    </w:p>
    <w:p w14:paraId="5BE21B45" w14:textId="2C2577C2" w:rsidR="00D61C50" w:rsidRDefault="00D61C50" w:rsidP="005A27FC">
      <w:pPr>
        <w:pStyle w:val="ListParagraph"/>
        <w:ind w:left="0"/>
        <w:jc w:val="center"/>
        <w:rPr>
          <w:b/>
          <w:bCs/>
          <w:color w:val="2F5496" w:themeColor="accent1" w:themeShade="BF"/>
          <w:sz w:val="40"/>
          <w:szCs w:val="40"/>
        </w:rPr>
      </w:pPr>
    </w:p>
    <w:p w14:paraId="38E200E1" w14:textId="51488CA2" w:rsidR="00D61C50" w:rsidRDefault="00D61C50" w:rsidP="005A27FC">
      <w:pPr>
        <w:pStyle w:val="ListParagraph"/>
        <w:ind w:left="0"/>
        <w:jc w:val="center"/>
        <w:rPr>
          <w:b/>
          <w:bCs/>
          <w:color w:val="2F5496" w:themeColor="accent1" w:themeShade="BF"/>
          <w:sz w:val="40"/>
          <w:szCs w:val="40"/>
        </w:rPr>
      </w:pPr>
    </w:p>
    <w:p w14:paraId="6747F4F9" w14:textId="77777777" w:rsidR="00D61C50" w:rsidRDefault="00D61C50" w:rsidP="005A27FC">
      <w:pPr>
        <w:pStyle w:val="ListParagraph"/>
        <w:ind w:left="0"/>
        <w:jc w:val="center"/>
        <w:rPr>
          <w:b/>
          <w:bCs/>
          <w:color w:val="2F5496" w:themeColor="accent1" w:themeShade="BF"/>
          <w:sz w:val="40"/>
          <w:szCs w:val="40"/>
        </w:rPr>
      </w:pPr>
    </w:p>
    <w:p w14:paraId="018C7704" w14:textId="3E52973E" w:rsidR="005A27FC" w:rsidRDefault="005A27FC" w:rsidP="005A27FC">
      <w:pPr>
        <w:pStyle w:val="ListParagraph"/>
        <w:ind w:left="0"/>
        <w:jc w:val="center"/>
        <w:rPr>
          <w:b/>
          <w:bCs/>
          <w:color w:val="2F5496" w:themeColor="accent1" w:themeShade="BF"/>
          <w:sz w:val="40"/>
          <w:szCs w:val="40"/>
        </w:rPr>
      </w:pPr>
      <w:r>
        <w:rPr>
          <w:b/>
          <w:bCs/>
          <w:color w:val="2F5496" w:themeColor="accent1" w:themeShade="BF"/>
          <w:sz w:val="40"/>
          <w:szCs w:val="40"/>
        </w:rPr>
        <w:t>WV GIS Tech. Center</w:t>
      </w:r>
    </w:p>
    <w:p w14:paraId="0180E90A" w14:textId="77777777" w:rsidR="00C43EDA" w:rsidRDefault="00C43EDA" w:rsidP="005A27FC">
      <w:pPr>
        <w:pStyle w:val="ListParagraph"/>
        <w:ind w:left="0"/>
        <w:jc w:val="center"/>
        <w:rPr>
          <w:b/>
          <w:bCs/>
          <w:color w:val="2F5496" w:themeColor="accent1" w:themeShade="BF"/>
          <w:sz w:val="40"/>
          <w:szCs w:val="40"/>
        </w:rPr>
      </w:pPr>
    </w:p>
    <w:p w14:paraId="125F9E74" w14:textId="77777777" w:rsidR="00D61C50" w:rsidRPr="00C43EDA" w:rsidRDefault="005A27FC" w:rsidP="005A27FC">
      <w:pPr>
        <w:pStyle w:val="ListParagraph"/>
        <w:ind w:left="0"/>
        <w:jc w:val="center"/>
        <w:rPr>
          <w:b/>
          <w:bCs/>
          <w:color w:val="2F5496" w:themeColor="accent1" w:themeShade="BF"/>
          <w:sz w:val="32"/>
          <w:szCs w:val="32"/>
        </w:rPr>
      </w:pPr>
      <w:r w:rsidRPr="00C43EDA">
        <w:rPr>
          <w:b/>
          <w:bCs/>
          <w:color w:val="2F5496" w:themeColor="accent1" w:themeShade="BF"/>
          <w:sz w:val="32"/>
          <w:szCs w:val="32"/>
        </w:rPr>
        <w:t>July 2023</w:t>
      </w:r>
    </w:p>
    <w:p w14:paraId="099F5B88" w14:textId="77777777" w:rsidR="00D61C50" w:rsidRDefault="00D61C50" w:rsidP="005A27FC">
      <w:pPr>
        <w:pStyle w:val="ListParagraph"/>
        <w:ind w:left="0"/>
        <w:jc w:val="center"/>
        <w:rPr>
          <w:b/>
          <w:bCs/>
          <w:color w:val="2F5496" w:themeColor="accent1" w:themeShade="BF"/>
          <w:sz w:val="40"/>
          <w:szCs w:val="40"/>
        </w:rPr>
        <w:sectPr w:rsidR="00D61C50">
          <w:footerReference w:type="default" r:id="rId9"/>
          <w:pgSz w:w="12240" w:h="15840"/>
          <w:pgMar w:top="1440" w:right="1440" w:bottom="1440" w:left="1440" w:header="720" w:footer="720" w:gutter="0"/>
          <w:cols w:space="720"/>
          <w:docGrid w:linePitch="360"/>
        </w:sectPr>
      </w:pPr>
    </w:p>
    <w:p w14:paraId="5F87D25A" w14:textId="6B00EE2F" w:rsidR="00691510" w:rsidRPr="00386308" w:rsidRDefault="00691510" w:rsidP="00691510">
      <w:pPr>
        <w:pStyle w:val="ListParagraph"/>
        <w:numPr>
          <w:ilvl w:val="0"/>
          <w:numId w:val="2"/>
        </w:numPr>
        <w:ind w:left="180" w:hanging="180"/>
        <w:rPr>
          <w:b/>
          <w:bCs/>
          <w:color w:val="2F5496" w:themeColor="accent1" w:themeShade="BF"/>
          <w:sz w:val="24"/>
          <w:szCs w:val="24"/>
        </w:rPr>
      </w:pPr>
      <w:r>
        <w:rPr>
          <w:b/>
          <w:bCs/>
          <w:color w:val="2F5496" w:themeColor="accent1" w:themeShade="BF"/>
          <w:sz w:val="24"/>
          <w:szCs w:val="24"/>
        </w:rPr>
        <w:lastRenderedPageBreak/>
        <w:t>Flood Hazard</w:t>
      </w:r>
    </w:p>
    <w:p w14:paraId="156FF91E" w14:textId="27554A3F" w:rsidR="00ED45CC" w:rsidRPr="00263E14" w:rsidRDefault="007A298C">
      <w:pPr>
        <w:rPr>
          <w:b/>
          <w:bCs/>
        </w:rPr>
      </w:pPr>
      <w:r>
        <w:rPr>
          <w:b/>
          <w:bCs/>
        </w:rPr>
        <w:t>Natural Characteristics</w:t>
      </w:r>
    </w:p>
    <w:p w14:paraId="58622B91" w14:textId="1AC48265" w:rsidR="00B05E29" w:rsidRDefault="007A298C" w:rsidP="007F1D28">
      <w:pPr>
        <w:rPr>
          <w:b/>
          <w:bCs/>
          <w:i/>
          <w:iCs/>
        </w:rPr>
      </w:pPr>
      <w:r>
        <w:rPr>
          <w:b/>
          <w:bCs/>
          <w:i/>
          <w:iCs/>
        </w:rPr>
        <w:t>Watershed</w:t>
      </w:r>
      <w:r w:rsidR="007F1D28">
        <w:rPr>
          <w:b/>
          <w:bCs/>
          <w:i/>
          <w:iCs/>
        </w:rPr>
        <w:t>s Bound</w:t>
      </w:r>
      <w:r w:rsidR="000608E3">
        <w:rPr>
          <w:b/>
          <w:bCs/>
          <w:i/>
          <w:iCs/>
        </w:rPr>
        <w:t>a</w:t>
      </w:r>
      <w:r w:rsidR="007F1D28">
        <w:rPr>
          <w:b/>
          <w:bCs/>
          <w:i/>
          <w:iCs/>
        </w:rPr>
        <w:t>ries</w:t>
      </w:r>
    </w:p>
    <w:p w14:paraId="71A1CC29" w14:textId="6154C3B1" w:rsidR="00B05E29" w:rsidRDefault="00CB2916" w:rsidP="00D93424">
      <w:pPr>
        <w:spacing w:line="276" w:lineRule="auto"/>
      </w:pPr>
      <w:r>
        <w:rPr>
          <w:noProof/>
        </w:rPr>
        <w:drawing>
          <wp:anchor distT="0" distB="0" distL="114300" distR="114300" simplePos="0" relativeHeight="251659264" behindDoc="0" locked="0" layoutInCell="1" allowOverlap="1" wp14:anchorId="248E9CAA" wp14:editId="4202FB85">
            <wp:simplePos x="0" y="0"/>
            <wp:positionH relativeFrom="margin">
              <wp:posOffset>795020</wp:posOffset>
            </wp:positionH>
            <wp:positionV relativeFrom="paragraph">
              <wp:posOffset>1435735</wp:posOffset>
            </wp:positionV>
            <wp:extent cx="4428490" cy="3422015"/>
            <wp:effectExtent l="0" t="0" r="0" b="6985"/>
            <wp:wrapThrough wrapText="bothSides">
              <wp:wrapPolygon edited="0">
                <wp:start x="0" y="0"/>
                <wp:lineTo x="0" y="21524"/>
                <wp:lineTo x="21464" y="21524"/>
                <wp:lineTo x="2146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ree_Biggest_Watershed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28490" cy="3422015"/>
                    </a:xfrm>
                    <a:prstGeom prst="rect">
                      <a:avLst/>
                    </a:prstGeom>
                  </pic:spPr>
                </pic:pic>
              </a:graphicData>
            </a:graphic>
            <wp14:sizeRelH relativeFrom="page">
              <wp14:pctWidth>0</wp14:pctWidth>
            </wp14:sizeRelH>
            <wp14:sizeRelV relativeFrom="page">
              <wp14:pctHeight>0</wp14:pctHeight>
            </wp14:sizeRelV>
          </wp:anchor>
        </w:drawing>
      </w:r>
      <w:r w:rsidR="00B05E29">
        <w:t xml:space="preserve">A total of 33 watersheds </w:t>
      </w:r>
      <w:r w:rsidR="00E95F3E">
        <w:t>intersect with</w:t>
      </w:r>
      <w:r w:rsidR="00B05E29">
        <w:t xml:space="preserve"> </w:t>
      </w:r>
      <w:r w:rsidR="005A5DC8">
        <w:t>West Virginia</w:t>
      </w:r>
      <w:r w:rsidR="00B05E29" w:rsidRPr="00B05E29">
        <w:t>. Among these watersheds, 13 are entirely within West Virginia's borders</w:t>
      </w:r>
      <w:r w:rsidR="00AB2B20">
        <w:t xml:space="preserve">, containing approximately 60 percent of the state's area. </w:t>
      </w:r>
      <w:r w:rsidR="00AC49E8" w:rsidRPr="00AC49E8">
        <w:t>The largest watershed entirely situated in West Virginia is the Little Kanawha watershed, spanning an area of 2,303 square miles, followed by the Greenbrier and Elk watersheds, with areas of 1,649 and 1,531 square miles, respectively.</w:t>
      </w:r>
      <w:r w:rsidR="004425E6">
        <w:t xml:space="preserve"> </w:t>
      </w:r>
      <w:proofErr w:type="spellStart"/>
      <w:r w:rsidR="004425E6">
        <w:t>Twelvepole</w:t>
      </w:r>
      <w:proofErr w:type="spellEnd"/>
      <w:r w:rsidR="00AB64A4">
        <w:t>,</w:t>
      </w:r>
      <w:r w:rsidR="004425E6">
        <w:t xml:space="preserve"> </w:t>
      </w:r>
      <w:r w:rsidR="00AB64A4">
        <w:t xml:space="preserve">with a 442 square mile area, </w:t>
      </w:r>
      <w:r w:rsidR="004425E6">
        <w:t xml:space="preserve">is the smallest watershed </w:t>
      </w:r>
      <w:r w:rsidR="00AB64A4">
        <w:t>in the state, while Upper Kanawha and Lowe New are the second and third smallest</w:t>
      </w:r>
      <w:r w:rsidR="005105F3">
        <w:t>, respectively.</w:t>
      </w:r>
      <w:r w:rsidR="00AB64A4">
        <w:t xml:space="preserve"> </w:t>
      </w:r>
      <w:r w:rsidR="00D93424">
        <w:t>Figure 1 indicates the geographical location of these watersheds in the state.</w:t>
      </w:r>
    </w:p>
    <w:p w14:paraId="6EBA5092" w14:textId="33E7DEA2" w:rsidR="00EE2D47" w:rsidRDefault="00EE2D47" w:rsidP="00292C23"/>
    <w:p w14:paraId="0F9FBE5F" w14:textId="04BCC95A" w:rsidR="00D93424" w:rsidRDefault="00D93424" w:rsidP="00292C23"/>
    <w:p w14:paraId="59853F5C" w14:textId="4B204109" w:rsidR="00D93424" w:rsidRDefault="00D93424" w:rsidP="00292C23"/>
    <w:p w14:paraId="2F6BD5CE" w14:textId="4F99FB8E" w:rsidR="00D93424" w:rsidRDefault="00D93424" w:rsidP="00292C23"/>
    <w:p w14:paraId="61546999" w14:textId="021B60CF" w:rsidR="00D93424" w:rsidRDefault="00D93424" w:rsidP="00292C23"/>
    <w:p w14:paraId="6F5D9035" w14:textId="46C0857E" w:rsidR="00CB2916" w:rsidRDefault="00CB2916" w:rsidP="00292C23"/>
    <w:p w14:paraId="62CE0BF0" w14:textId="77777777" w:rsidR="00CB2916" w:rsidRDefault="00CB2916" w:rsidP="00292C23"/>
    <w:p w14:paraId="3ABC3D88" w14:textId="3DCD9DF3" w:rsidR="00D93424" w:rsidRDefault="00D93424" w:rsidP="00292C23"/>
    <w:p w14:paraId="143159EF" w14:textId="69025FBD" w:rsidR="00CB2916" w:rsidRDefault="00CB2916" w:rsidP="00292C23"/>
    <w:p w14:paraId="1B1FD2B8" w14:textId="48EDDEA8" w:rsidR="00CB2916" w:rsidRDefault="00CB2916" w:rsidP="00292C23"/>
    <w:p w14:paraId="6883A167" w14:textId="77777777" w:rsidR="00CB2916" w:rsidRDefault="00CB2916" w:rsidP="00292C23"/>
    <w:p w14:paraId="35F3FFBC" w14:textId="52858673" w:rsidR="00CB2916" w:rsidRDefault="00CB2916" w:rsidP="00292C23"/>
    <w:p w14:paraId="6783CC3B" w14:textId="4A377141" w:rsidR="00CB2916" w:rsidRPr="00CB2916" w:rsidRDefault="00CB2916" w:rsidP="00CB2916">
      <w:pPr>
        <w:pStyle w:val="Caption"/>
        <w:jc w:val="center"/>
        <w:rPr>
          <w:i w:val="0"/>
          <w:iCs w:val="0"/>
          <w:color w:val="auto"/>
        </w:rPr>
      </w:pPr>
      <w:r w:rsidRPr="00CB2916">
        <w:rPr>
          <w:b/>
          <w:bCs/>
          <w:i w:val="0"/>
          <w:iCs w:val="0"/>
          <w:color w:val="auto"/>
        </w:rPr>
        <w:t xml:space="preserve">Figure </w:t>
      </w:r>
      <w:r w:rsidRPr="00CB2916">
        <w:rPr>
          <w:b/>
          <w:bCs/>
          <w:i w:val="0"/>
          <w:iCs w:val="0"/>
          <w:color w:val="auto"/>
        </w:rPr>
        <w:fldChar w:fldCharType="begin"/>
      </w:r>
      <w:r w:rsidRPr="00CB2916">
        <w:rPr>
          <w:b/>
          <w:bCs/>
          <w:i w:val="0"/>
          <w:iCs w:val="0"/>
          <w:color w:val="auto"/>
        </w:rPr>
        <w:instrText xml:space="preserve"> SEQ Figure \* ARABIC </w:instrText>
      </w:r>
      <w:r w:rsidRPr="00CB2916">
        <w:rPr>
          <w:b/>
          <w:bCs/>
          <w:i w:val="0"/>
          <w:iCs w:val="0"/>
          <w:color w:val="auto"/>
        </w:rPr>
        <w:fldChar w:fldCharType="separate"/>
      </w:r>
      <w:r w:rsidRPr="00CB2916">
        <w:rPr>
          <w:b/>
          <w:bCs/>
          <w:i w:val="0"/>
          <w:iCs w:val="0"/>
          <w:noProof/>
          <w:color w:val="auto"/>
        </w:rPr>
        <w:t>1</w:t>
      </w:r>
      <w:r w:rsidRPr="00CB2916">
        <w:rPr>
          <w:b/>
          <w:bCs/>
          <w:i w:val="0"/>
          <w:iCs w:val="0"/>
          <w:color w:val="auto"/>
        </w:rPr>
        <w:fldChar w:fldCharType="end"/>
      </w:r>
      <w:r w:rsidRPr="00CB2916">
        <w:rPr>
          <w:b/>
          <w:bCs/>
          <w:i w:val="0"/>
          <w:iCs w:val="0"/>
          <w:color w:val="auto"/>
        </w:rPr>
        <w:t>.</w:t>
      </w:r>
      <w:r w:rsidR="00E95A7C">
        <w:rPr>
          <w:i w:val="0"/>
          <w:iCs w:val="0"/>
          <w:color w:val="auto"/>
        </w:rPr>
        <w:t xml:space="preserve"> Location of the </w:t>
      </w:r>
      <w:r w:rsidRPr="00CB2916">
        <w:rPr>
          <w:i w:val="0"/>
          <w:iCs w:val="0"/>
          <w:color w:val="auto"/>
        </w:rPr>
        <w:t>Largest and Smallest Watersheds</w:t>
      </w:r>
      <w:r w:rsidR="00E95A7C">
        <w:rPr>
          <w:i w:val="0"/>
          <w:iCs w:val="0"/>
          <w:color w:val="auto"/>
        </w:rPr>
        <w:t xml:space="preserve"> in West Virginia</w:t>
      </w:r>
    </w:p>
    <w:p w14:paraId="5FF8FF8C" w14:textId="77777777" w:rsidR="00D93424" w:rsidRDefault="00D93424" w:rsidP="00292C23"/>
    <w:p w14:paraId="51CB65E8" w14:textId="5FC63C3B" w:rsidR="00EE2D47" w:rsidRDefault="009E367E" w:rsidP="009E367E">
      <w:pPr>
        <w:rPr>
          <w:b/>
          <w:bCs/>
          <w:i/>
          <w:iCs/>
        </w:rPr>
      </w:pPr>
      <w:r>
        <w:rPr>
          <w:b/>
          <w:bCs/>
          <w:i/>
          <w:iCs/>
        </w:rPr>
        <w:t>Flood Zone Area</w:t>
      </w:r>
      <w:r w:rsidR="00EE2D47" w:rsidRPr="00EE2D47">
        <w:rPr>
          <w:b/>
          <w:bCs/>
          <w:i/>
          <w:iCs/>
        </w:rPr>
        <w:t xml:space="preserve"> </w:t>
      </w:r>
      <w:r w:rsidR="00EE2D47">
        <w:rPr>
          <w:b/>
          <w:bCs/>
          <w:i/>
          <w:iCs/>
        </w:rPr>
        <w:t>in the Wate</w:t>
      </w:r>
      <w:r w:rsidR="009B503A">
        <w:rPr>
          <w:b/>
          <w:bCs/>
          <w:i/>
          <w:iCs/>
        </w:rPr>
        <w:t>r</w:t>
      </w:r>
      <w:r w:rsidR="00EE2D47">
        <w:rPr>
          <w:b/>
          <w:bCs/>
          <w:i/>
          <w:iCs/>
        </w:rPr>
        <w:t>sheds</w:t>
      </w:r>
    </w:p>
    <w:p w14:paraId="7BDCAA73" w14:textId="39CE8BD8" w:rsidR="00243C22" w:rsidRDefault="002701E4" w:rsidP="0081796E">
      <w:pPr>
        <w:pStyle w:val="NormalWeb"/>
        <w:spacing w:before="0" w:beforeAutospacing="0" w:after="0" w:afterAutospacing="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00243C22" w:rsidRPr="0066594A">
        <w:rPr>
          <w:rFonts w:asciiTheme="minorHAnsi" w:eastAsiaTheme="minorHAnsi" w:hAnsiTheme="minorHAnsi" w:cstheme="minorBidi"/>
          <w:sz w:val="22"/>
          <w:szCs w:val="22"/>
        </w:rPr>
        <w:t>h</w:t>
      </w:r>
      <w:r w:rsidR="00CB2916">
        <w:rPr>
          <w:rFonts w:asciiTheme="minorHAnsi" w:eastAsiaTheme="minorHAnsi" w:hAnsiTheme="minorHAnsi" w:cstheme="minorBidi"/>
          <w:sz w:val="22"/>
          <w:szCs w:val="22"/>
        </w:rPr>
        <w:t>is study mainly focuse</w:t>
      </w:r>
      <w:r w:rsidR="00012892">
        <w:rPr>
          <w:rFonts w:asciiTheme="minorHAnsi" w:eastAsiaTheme="minorHAnsi" w:hAnsiTheme="minorHAnsi" w:cstheme="minorBidi"/>
          <w:sz w:val="22"/>
          <w:szCs w:val="22"/>
        </w:rPr>
        <w:t xml:space="preserve">s </w:t>
      </w:r>
      <w:r w:rsidR="00243C22" w:rsidRPr="0066594A">
        <w:rPr>
          <w:rFonts w:asciiTheme="minorHAnsi" w:eastAsiaTheme="minorHAnsi" w:hAnsiTheme="minorHAnsi" w:cstheme="minorBidi"/>
          <w:sz w:val="22"/>
          <w:szCs w:val="22"/>
        </w:rPr>
        <w:t>on estimating</w:t>
      </w:r>
      <w:r w:rsidR="00243C22">
        <w:rPr>
          <w:rFonts w:asciiTheme="minorHAnsi" w:eastAsiaTheme="minorHAnsi" w:hAnsiTheme="minorHAnsi" w:cstheme="minorBidi"/>
          <w:sz w:val="22"/>
          <w:szCs w:val="22"/>
        </w:rPr>
        <w:t xml:space="preserve"> 100-year</w:t>
      </w:r>
      <w:r w:rsidR="00243C22" w:rsidRPr="0066594A">
        <w:rPr>
          <w:rFonts w:asciiTheme="minorHAnsi" w:eastAsiaTheme="minorHAnsi" w:hAnsiTheme="minorHAnsi" w:cstheme="minorBidi"/>
          <w:sz w:val="22"/>
          <w:szCs w:val="22"/>
        </w:rPr>
        <w:t xml:space="preserve"> flood zones</w:t>
      </w:r>
      <w:r w:rsidR="00243C22">
        <w:rPr>
          <w:rFonts w:asciiTheme="minorHAnsi" w:eastAsiaTheme="minorHAnsi" w:hAnsiTheme="minorHAnsi" w:cstheme="minorBidi"/>
          <w:sz w:val="22"/>
          <w:szCs w:val="22"/>
        </w:rPr>
        <w:t xml:space="preserve"> containing</w:t>
      </w:r>
      <w:r w:rsidR="00243C22" w:rsidRPr="0066594A">
        <w:rPr>
          <w:rFonts w:asciiTheme="minorHAnsi" w:eastAsiaTheme="minorHAnsi" w:hAnsiTheme="minorHAnsi" w:cstheme="minorBidi"/>
          <w:sz w:val="22"/>
          <w:szCs w:val="22"/>
        </w:rPr>
        <w:t xml:space="preserve"> A, AE, AH, and AO</w:t>
      </w:r>
      <w:r w:rsidR="00D47F6C">
        <w:rPr>
          <w:rFonts w:asciiTheme="minorHAnsi" w:eastAsiaTheme="minorHAnsi" w:hAnsiTheme="minorHAnsi" w:cstheme="minorBidi"/>
          <w:sz w:val="22"/>
          <w:szCs w:val="22"/>
        </w:rPr>
        <w:t>,</w:t>
      </w:r>
      <w:r w:rsidR="00E95F3E">
        <w:rPr>
          <w:rFonts w:asciiTheme="minorHAnsi" w:eastAsiaTheme="minorHAnsi" w:hAnsiTheme="minorHAnsi" w:cstheme="minorBidi"/>
          <w:sz w:val="22"/>
          <w:szCs w:val="22"/>
        </w:rPr>
        <w:t xml:space="preserve"> while</w:t>
      </w:r>
      <w:r w:rsidR="00012892">
        <w:rPr>
          <w:rFonts w:asciiTheme="minorHAnsi" w:eastAsiaTheme="minorHAnsi" w:hAnsiTheme="minorHAnsi" w:cstheme="minorBidi"/>
          <w:sz w:val="22"/>
          <w:szCs w:val="22"/>
        </w:rPr>
        <w:t xml:space="preserve"> </w:t>
      </w:r>
      <w:r w:rsidR="0081796E">
        <w:rPr>
          <w:rFonts w:asciiTheme="minorHAnsi" w:eastAsiaTheme="minorHAnsi" w:hAnsiTheme="minorHAnsi" w:cstheme="minorBidi"/>
          <w:sz w:val="22"/>
          <w:szCs w:val="22"/>
        </w:rPr>
        <w:t xml:space="preserve">this study has not considered 500-year flood zone </w:t>
      </w:r>
      <w:proofErr w:type="spellStart"/>
      <w:r w:rsidR="0081796E">
        <w:rPr>
          <w:rFonts w:asciiTheme="minorHAnsi" w:eastAsiaTheme="minorHAnsi" w:hAnsiTheme="minorHAnsi" w:cstheme="minorBidi"/>
          <w:sz w:val="22"/>
          <w:szCs w:val="22"/>
        </w:rPr>
        <w:t>Zone</w:t>
      </w:r>
      <w:proofErr w:type="spellEnd"/>
      <w:r w:rsidR="0081796E">
        <w:rPr>
          <w:rFonts w:asciiTheme="minorHAnsi" w:eastAsiaTheme="minorHAnsi" w:hAnsiTheme="minorHAnsi" w:cstheme="minorBidi"/>
          <w:sz w:val="22"/>
          <w:szCs w:val="22"/>
        </w:rPr>
        <w:t xml:space="preserve"> (X)</w:t>
      </w:r>
      <w:r w:rsidR="002D31CC">
        <w:rPr>
          <w:rFonts w:asciiTheme="minorHAnsi" w:eastAsiaTheme="minorHAnsi" w:hAnsiTheme="minorHAnsi" w:cstheme="minorBidi"/>
          <w:sz w:val="22"/>
          <w:szCs w:val="22"/>
        </w:rPr>
        <w:t>.</w:t>
      </w:r>
      <w:r w:rsidR="00A121B0">
        <w:rPr>
          <w:rFonts w:asciiTheme="minorHAnsi" w:eastAsiaTheme="minorHAnsi" w:hAnsiTheme="minorHAnsi" w:cstheme="minorBidi"/>
          <w:sz w:val="22"/>
          <w:szCs w:val="22"/>
        </w:rPr>
        <w:t xml:space="preserve"> </w:t>
      </w:r>
    </w:p>
    <w:p w14:paraId="594B72B2" w14:textId="447266AA" w:rsidR="0066594A" w:rsidRDefault="0066594A" w:rsidP="00CB0C13">
      <w:pPr>
        <w:pStyle w:val="NormalWeb"/>
        <w:spacing w:before="0" w:beforeAutospacing="0" w:after="0" w:afterAutospacing="0" w:line="276" w:lineRule="auto"/>
        <w:rPr>
          <w:rFonts w:asciiTheme="minorHAnsi" w:eastAsiaTheme="minorHAnsi" w:hAnsiTheme="minorHAnsi" w:cstheme="minorBidi"/>
          <w:sz w:val="22"/>
          <w:szCs w:val="22"/>
        </w:rPr>
      </w:pPr>
      <w:r w:rsidRPr="0066594A">
        <w:rPr>
          <w:rFonts w:asciiTheme="minorHAnsi" w:eastAsiaTheme="minorHAnsi" w:hAnsiTheme="minorHAnsi" w:cstheme="minorBidi"/>
          <w:sz w:val="22"/>
          <w:szCs w:val="22"/>
        </w:rPr>
        <w:t xml:space="preserve">The flood zone </w:t>
      </w:r>
      <w:r w:rsidR="00402014">
        <w:rPr>
          <w:rFonts w:asciiTheme="minorHAnsi" w:eastAsiaTheme="minorHAnsi" w:hAnsiTheme="minorHAnsi" w:cstheme="minorBidi"/>
          <w:sz w:val="22"/>
          <w:szCs w:val="22"/>
        </w:rPr>
        <w:t>r</w:t>
      </w:r>
      <w:r w:rsidRPr="0066594A">
        <w:rPr>
          <w:rFonts w:asciiTheme="minorHAnsi" w:eastAsiaTheme="minorHAnsi" w:hAnsiTheme="minorHAnsi" w:cstheme="minorBidi"/>
          <w:sz w:val="22"/>
          <w:szCs w:val="22"/>
        </w:rPr>
        <w:t>atio, obtained by dividing the area of floodplain by the watershed</w:t>
      </w:r>
      <w:r w:rsidR="00402014">
        <w:rPr>
          <w:rFonts w:asciiTheme="minorHAnsi" w:eastAsiaTheme="minorHAnsi" w:hAnsiTheme="minorHAnsi" w:cstheme="minorBidi"/>
          <w:sz w:val="22"/>
          <w:szCs w:val="22"/>
        </w:rPr>
        <w:t xml:space="preserve"> area in West Virginia</w:t>
      </w:r>
      <w:r w:rsidRPr="0066594A">
        <w:rPr>
          <w:rFonts w:asciiTheme="minorHAnsi" w:eastAsiaTheme="minorHAnsi" w:hAnsiTheme="minorHAnsi" w:cstheme="minorBidi"/>
          <w:sz w:val="22"/>
          <w:szCs w:val="22"/>
        </w:rPr>
        <w:t>, indicates that Racoon-</w:t>
      </w:r>
      <w:proofErr w:type="spellStart"/>
      <w:r w:rsidRPr="0066594A">
        <w:rPr>
          <w:rFonts w:asciiTheme="minorHAnsi" w:eastAsiaTheme="minorHAnsi" w:hAnsiTheme="minorHAnsi" w:cstheme="minorBidi"/>
          <w:sz w:val="22"/>
          <w:szCs w:val="22"/>
        </w:rPr>
        <w:t>Symmes</w:t>
      </w:r>
      <w:proofErr w:type="spellEnd"/>
      <w:r w:rsidRPr="0066594A">
        <w:rPr>
          <w:rFonts w:asciiTheme="minorHAnsi" w:eastAsiaTheme="minorHAnsi" w:hAnsiTheme="minorHAnsi" w:cstheme="minorBidi"/>
          <w:sz w:val="22"/>
          <w:szCs w:val="22"/>
        </w:rPr>
        <w:t>, Upper Ohio-shade, and Shenandoah have the highest percentage of floodplain coverage among the thirty-thr</w:t>
      </w:r>
      <w:r w:rsidR="00C260BF">
        <w:rPr>
          <w:rFonts w:asciiTheme="minorHAnsi" w:eastAsiaTheme="minorHAnsi" w:hAnsiTheme="minorHAnsi" w:cstheme="minorBidi"/>
          <w:sz w:val="22"/>
          <w:szCs w:val="22"/>
        </w:rPr>
        <w:t xml:space="preserve">ee watersheds. </w:t>
      </w:r>
      <w:r w:rsidR="00CB0C13">
        <w:rPr>
          <w:rFonts w:asciiTheme="minorHAnsi" w:eastAsiaTheme="minorHAnsi" w:hAnsiTheme="minorHAnsi" w:cstheme="minorBidi"/>
          <w:sz w:val="22"/>
          <w:szCs w:val="22"/>
        </w:rPr>
        <w:t>Table 1 shows that a</w:t>
      </w:r>
      <w:r w:rsidR="00C260BF">
        <w:rPr>
          <w:rFonts w:asciiTheme="minorHAnsi" w:eastAsiaTheme="minorHAnsi" w:hAnsiTheme="minorHAnsi" w:cstheme="minorBidi"/>
          <w:sz w:val="22"/>
          <w:szCs w:val="22"/>
        </w:rPr>
        <w:t>fter these top threes</w:t>
      </w:r>
      <w:r w:rsidR="00C260BF" w:rsidRPr="00C260BF">
        <w:rPr>
          <w:rFonts w:asciiTheme="minorHAnsi" w:eastAsiaTheme="minorHAnsi" w:hAnsiTheme="minorHAnsi" w:cstheme="minorBidi"/>
          <w:sz w:val="22"/>
          <w:szCs w:val="22"/>
        </w:rPr>
        <w:t>, the largest flood zones are</w:t>
      </w:r>
      <w:r w:rsidR="00C260BF">
        <w:rPr>
          <w:rFonts w:asciiTheme="minorHAnsi" w:eastAsiaTheme="minorHAnsi" w:hAnsiTheme="minorHAnsi" w:cstheme="minorBidi"/>
          <w:sz w:val="22"/>
          <w:szCs w:val="22"/>
        </w:rPr>
        <w:t xml:space="preserve"> respectively</w:t>
      </w:r>
      <w:r w:rsidR="00C260BF" w:rsidRPr="00C260BF">
        <w:rPr>
          <w:rFonts w:asciiTheme="minorHAnsi" w:eastAsiaTheme="minorHAnsi" w:hAnsiTheme="minorHAnsi" w:cstheme="minorBidi"/>
          <w:sz w:val="22"/>
          <w:szCs w:val="22"/>
        </w:rPr>
        <w:t xml:space="preserve"> observed in Upper Ohio, Big Sandy, and Lower Kanawha watersheds</w:t>
      </w:r>
      <w:r w:rsidR="00655B99">
        <w:rPr>
          <w:rFonts w:asciiTheme="minorHAnsi" w:eastAsiaTheme="minorHAnsi" w:hAnsiTheme="minorHAnsi" w:cstheme="minorBidi"/>
          <w:sz w:val="22"/>
          <w:szCs w:val="22"/>
        </w:rPr>
        <w:t>.</w:t>
      </w:r>
      <w:r w:rsidR="00CB0C13">
        <w:rPr>
          <w:rFonts w:asciiTheme="minorHAnsi" w:eastAsiaTheme="minorHAnsi" w:hAnsiTheme="minorHAnsi" w:cstheme="minorBidi"/>
          <w:sz w:val="22"/>
          <w:szCs w:val="22"/>
        </w:rPr>
        <w:t xml:space="preserve"> </w:t>
      </w:r>
    </w:p>
    <w:p w14:paraId="493EF2B4" w14:textId="0EF1BE82" w:rsidR="00E85CFF" w:rsidRDefault="00E85CFF" w:rsidP="0066594A">
      <w:pPr>
        <w:pStyle w:val="NormalWeb"/>
        <w:spacing w:before="0" w:beforeAutospacing="0" w:after="0" w:afterAutospacing="0"/>
        <w:rPr>
          <w:rFonts w:asciiTheme="minorHAnsi" w:eastAsiaTheme="minorHAnsi" w:hAnsiTheme="minorHAnsi" w:cstheme="minorBidi"/>
          <w:sz w:val="22"/>
          <w:szCs w:val="22"/>
        </w:rPr>
      </w:pPr>
    </w:p>
    <w:tbl>
      <w:tblPr>
        <w:tblStyle w:val="GridTable4-Accent5"/>
        <w:tblpPr w:leftFromText="180" w:rightFromText="180" w:vertAnchor="page" w:horzAnchor="margin" w:tblpXSpec="center" w:tblpY="3695"/>
        <w:tblW w:w="4315" w:type="dxa"/>
        <w:tblLayout w:type="fixed"/>
        <w:tblLook w:val="04A0" w:firstRow="1" w:lastRow="0" w:firstColumn="1" w:lastColumn="0" w:noHBand="0" w:noVBand="1"/>
      </w:tblPr>
      <w:tblGrid>
        <w:gridCol w:w="2155"/>
        <w:gridCol w:w="2160"/>
      </w:tblGrid>
      <w:tr w:rsidR="0073472C" w:rsidRPr="00BE3104" w14:paraId="69D1A723" w14:textId="77777777" w:rsidTr="0073472C">
        <w:trPr>
          <w:cnfStyle w:val="100000000000" w:firstRow="1" w:lastRow="0" w:firstColumn="0" w:lastColumn="0" w:oddVBand="0" w:evenVBand="0" w:oddHBand="0"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2155" w:type="dxa"/>
            <w:tcBorders>
              <w:right w:val="single" w:sz="4" w:space="0" w:color="auto"/>
            </w:tcBorders>
            <w:shd w:val="clear" w:color="auto" w:fill="2F5496"/>
            <w:vAlign w:val="center"/>
            <w:hideMark/>
          </w:tcPr>
          <w:p w14:paraId="6EB23518" w14:textId="77777777" w:rsidR="0073472C" w:rsidRPr="00BE3104" w:rsidRDefault="0073472C" w:rsidP="0073472C">
            <w:pPr>
              <w:jc w:val="center"/>
              <w:rPr>
                <w:rFonts w:ascii="Calibri" w:eastAsia="Times New Roman" w:hAnsi="Calibri" w:cs="Calibri"/>
                <w:sz w:val="20"/>
                <w:szCs w:val="20"/>
              </w:rPr>
            </w:pPr>
            <w:r w:rsidRPr="00BE3104">
              <w:rPr>
                <w:rFonts w:ascii="Calibri" w:eastAsia="Times New Roman" w:hAnsi="Calibri" w:cs="Calibri"/>
                <w:sz w:val="20"/>
                <w:szCs w:val="20"/>
              </w:rPr>
              <w:lastRenderedPageBreak/>
              <w:t>Watershed</w:t>
            </w:r>
          </w:p>
        </w:tc>
        <w:tc>
          <w:tcPr>
            <w:tcW w:w="2160" w:type="dxa"/>
            <w:tcBorders>
              <w:left w:val="single" w:sz="4" w:space="0" w:color="auto"/>
            </w:tcBorders>
            <w:shd w:val="clear" w:color="auto" w:fill="2F5496" w:themeFill="accent1" w:themeFillShade="BF"/>
            <w:vAlign w:val="center"/>
            <w:hideMark/>
          </w:tcPr>
          <w:p w14:paraId="45ABC5D7" w14:textId="77777777" w:rsidR="0073472C" w:rsidRPr="00BE3104" w:rsidRDefault="0073472C" w:rsidP="0073472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33A74">
              <w:rPr>
                <w:rFonts w:ascii="Calibri" w:hAnsi="Calibri" w:cs="Calibri"/>
                <w:sz w:val="20"/>
                <w:szCs w:val="20"/>
              </w:rPr>
              <w:t xml:space="preserve">Percentage of </w:t>
            </w:r>
            <w:r>
              <w:rPr>
                <w:rFonts w:ascii="Calibri" w:hAnsi="Calibri" w:cs="Calibri"/>
                <w:sz w:val="20"/>
                <w:szCs w:val="20"/>
              </w:rPr>
              <w:t xml:space="preserve">100-year </w:t>
            </w:r>
            <w:proofErr w:type="spellStart"/>
            <w:r w:rsidRPr="00A33A74">
              <w:rPr>
                <w:rFonts w:ascii="Calibri" w:hAnsi="Calibri" w:cs="Calibri"/>
                <w:sz w:val="20"/>
                <w:szCs w:val="20"/>
              </w:rPr>
              <w:t>FloodPlain</w:t>
            </w:r>
            <w:proofErr w:type="spellEnd"/>
            <w:r w:rsidRPr="00A33A74">
              <w:rPr>
                <w:rFonts w:ascii="Calibri" w:hAnsi="Calibri" w:cs="Calibri"/>
                <w:sz w:val="20"/>
                <w:szCs w:val="20"/>
              </w:rPr>
              <w:t xml:space="preserve"> in the Clipped Watershed</w:t>
            </w:r>
          </w:p>
        </w:tc>
      </w:tr>
      <w:tr w:rsidR="0073472C" w:rsidRPr="00BE3104" w14:paraId="0CBA05AF" w14:textId="77777777" w:rsidTr="007347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5" w:type="dxa"/>
            <w:noWrap/>
            <w:vAlign w:val="center"/>
            <w:hideMark/>
          </w:tcPr>
          <w:p w14:paraId="2B05E858" w14:textId="77777777" w:rsidR="0073472C" w:rsidRPr="00BE3104" w:rsidRDefault="0073472C" w:rsidP="0073472C">
            <w:pPr>
              <w:jc w:val="center"/>
              <w:rPr>
                <w:rFonts w:ascii="Calibri" w:eastAsia="Times New Roman" w:hAnsi="Calibri" w:cs="Calibri"/>
                <w:b w:val="0"/>
                <w:bCs w:val="0"/>
                <w:color w:val="203764"/>
                <w:sz w:val="20"/>
                <w:szCs w:val="20"/>
              </w:rPr>
            </w:pPr>
            <w:r w:rsidRPr="00BE3104">
              <w:rPr>
                <w:rFonts w:ascii="Calibri" w:eastAsia="Times New Roman" w:hAnsi="Calibri" w:cs="Calibri"/>
                <w:b w:val="0"/>
                <w:bCs w:val="0"/>
                <w:color w:val="203764"/>
                <w:sz w:val="20"/>
                <w:szCs w:val="20"/>
              </w:rPr>
              <w:t>Raccoon-</w:t>
            </w:r>
            <w:proofErr w:type="spellStart"/>
            <w:r w:rsidRPr="00BE3104">
              <w:rPr>
                <w:rFonts w:ascii="Calibri" w:eastAsia="Times New Roman" w:hAnsi="Calibri" w:cs="Calibri"/>
                <w:b w:val="0"/>
                <w:bCs w:val="0"/>
                <w:color w:val="203764"/>
                <w:sz w:val="20"/>
                <w:szCs w:val="20"/>
              </w:rPr>
              <w:t>Symmes</w:t>
            </w:r>
            <w:proofErr w:type="spellEnd"/>
          </w:p>
        </w:tc>
        <w:tc>
          <w:tcPr>
            <w:tcW w:w="2160" w:type="dxa"/>
            <w:noWrap/>
            <w:vAlign w:val="center"/>
            <w:hideMark/>
          </w:tcPr>
          <w:p w14:paraId="1CAF50C3" w14:textId="77777777" w:rsidR="0073472C" w:rsidRPr="00BE3104" w:rsidRDefault="0073472C" w:rsidP="0073472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A33A74">
              <w:rPr>
                <w:rFonts w:ascii="Calibri" w:hAnsi="Calibri" w:cs="Calibri"/>
                <w:color w:val="000000"/>
                <w:sz w:val="20"/>
                <w:szCs w:val="20"/>
              </w:rPr>
              <w:t>21%</w:t>
            </w:r>
          </w:p>
        </w:tc>
      </w:tr>
      <w:tr w:rsidR="0073472C" w:rsidRPr="00BE3104" w14:paraId="41F49A87" w14:textId="77777777" w:rsidTr="0073472C">
        <w:trPr>
          <w:trHeight w:val="300"/>
        </w:trPr>
        <w:tc>
          <w:tcPr>
            <w:cnfStyle w:val="001000000000" w:firstRow="0" w:lastRow="0" w:firstColumn="1" w:lastColumn="0" w:oddVBand="0" w:evenVBand="0" w:oddHBand="0" w:evenHBand="0" w:firstRowFirstColumn="0" w:firstRowLastColumn="0" w:lastRowFirstColumn="0" w:lastRowLastColumn="0"/>
            <w:tcW w:w="2155" w:type="dxa"/>
            <w:noWrap/>
            <w:vAlign w:val="center"/>
            <w:hideMark/>
          </w:tcPr>
          <w:p w14:paraId="5778D0EE" w14:textId="77777777" w:rsidR="0073472C" w:rsidRPr="00BE3104" w:rsidRDefault="0073472C" w:rsidP="0073472C">
            <w:pPr>
              <w:jc w:val="center"/>
              <w:rPr>
                <w:rFonts w:ascii="Calibri" w:eastAsia="Times New Roman" w:hAnsi="Calibri" w:cs="Calibri"/>
                <w:b w:val="0"/>
                <w:bCs w:val="0"/>
                <w:color w:val="203764"/>
                <w:sz w:val="20"/>
                <w:szCs w:val="20"/>
              </w:rPr>
            </w:pPr>
            <w:r w:rsidRPr="00BE3104">
              <w:rPr>
                <w:rFonts w:ascii="Calibri" w:eastAsia="Times New Roman" w:hAnsi="Calibri" w:cs="Calibri"/>
                <w:b w:val="0"/>
                <w:bCs w:val="0"/>
                <w:color w:val="203764"/>
                <w:sz w:val="20"/>
                <w:szCs w:val="20"/>
              </w:rPr>
              <w:t>Upper Ohio-Shade</w:t>
            </w:r>
          </w:p>
        </w:tc>
        <w:tc>
          <w:tcPr>
            <w:tcW w:w="2160" w:type="dxa"/>
            <w:noWrap/>
            <w:vAlign w:val="center"/>
            <w:hideMark/>
          </w:tcPr>
          <w:p w14:paraId="50F429CE" w14:textId="77777777" w:rsidR="0073472C" w:rsidRPr="00BE3104" w:rsidRDefault="0073472C" w:rsidP="0073472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A33A74">
              <w:rPr>
                <w:rFonts w:ascii="Calibri" w:hAnsi="Calibri" w:cs="Calibri"/>
                <w:color w:val="000000"/>
                <w:sz w:val="20"/>
                <w:szCs w:val="20"/>
              </w:rPr>
              <w:t>15%</w:t>
            </w:r>
          </w:p>
        </w:tc>
      </w:tr>
      <w:tr w:rsidR="0073472C" w:rsidRPr="00BE3104" w14:paraId="42354F77" w14:textId="77777777" w:rsidTr="007347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5" w:type="dxa"/>
            <w:noWrap/>
            <w:vAlign w:val="center"/>
            <w:hideMark/>
          </w:tcPr>
          <w:p w14:paraId="5FD90CF3" w14:textId="77777777" w:rsidR="0073472C" w:rsidRPr="00BE3104" w:rsidRDefault="0073472C" w:rsidP="0073472C">
            <w:pPr>
              <w:jc w:val="center"/>
              <w:rPr>
                <w:rFonts w:ascii="Calibri" w:eastAsia="Times New Roman" w:hAnsi="Calibri" w:cs="Calibri"/>
                <w:b w:val="0"/>
                <w:bCs w:val="0"/>
                <w:color w:val="203764"/>
                <w:sz w:val="20"/>
                <w:szCs w:val="20"/>
              </w:rPr>
            </w:pPr>
            <w:r w:rsidRPr="00BE3104">
              <w:rPr>
                <w:rFonts w:ascii="Calibri" w:eastAsia="Times New Roman" w:hAnsi="Calibri" w:cs="Calibri"/>
                <w:b w:val="0"/>
                <w:bCs w:val="0"/>
                <w:color w:val="203764"/>
                <w:sz w:val="20"/>
                <w:szCs w:val="20"/>
              </w:rPr>
              <w:t>Shenandoah</w:t>
            </w:r>
          </w:p>
        </w:tc>
        <w:tc>
          <w:tcPr>
            <w:tcW w:w="2160" w:type="dxa"/>
            <w:noWrap/>
            <w:vAlign w:val="center"/>
            <w:hideMark/>
          </w:tcPr>
          <w:p w14:paraId="24D2B34D" w14:textId="77777777" w:rsidR="0073472C" w:rsidRPr="00BE3104" w:rsidRDefault="0073472C" w:rsidP="0073472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A33A74">
              <w:rPr>
                <w:rFonts w:ascii="Calibri" w:hAnsi="Calibri" w:cs="Calibri"/>
                <w:color w:val="000000"/>
                <w:sz w:val="20"/>
                <w:szCs w:val="20"/>
              </w:rPr>
              <w:t>14%</w:t>
            </w:r>
          </w:p>
        </w:tc>
      </w:tr>
      <w:tr w:rsidR="0073472C" w:rsidRPr="00BE3104" w14:paraId="724C77A6" w14:textId="77777777" w:rsidTr="0073472C">
        <w:trPr>
          <w:trHeight w:val="300"/>
        </w:trPr>
        <w:tc>
          <w:tcPr>
            <w:cnfStyle w:val="001000000000" w:firstRow="0" w:lastRow="0" w:firstColumn="1" w:lastColumn="0" w:oddVBand="0" w:evenVBand="0" w:oddHBand="0" w:evenHBand="0" w:firstRowFirstColumn="0" w:firstRowLastColumn="0" w:lastRowFirstColumn="0" w:lastRowLastColumn="0"/>
            <w:tcW w:w="2155" w:type="dxa"/>
            <w:noWrap/>
            <w:vAlign w:val="center"/>
            <w:hideMark/>
          </w:tcPr>
          <w:p w14:paraId="12364E71" w14:textId="77777777" w:rsidR="0073472C" w:rsidRPr="00BE3104" w:rsidRDefault="0073472C" w:rsidP="0073472C">
            <w:pPr>
              <w:jc w:val="center"/>
              <w:rPr>
                <w:rFonts w:ascii="Calibri" w:eastAsia="Times New Roman" w:hAnsi="Calibri" w:cs="Calibri"/>
                <w:b w:val="0"/>
                <w:bCs w:val="0"/>
                <w:color w:val="203764"/>
                <w:sz w:val="20"/>
                <w:szCs w:val="20"/>
              </w:rPr>
            </w:pPr>
            <w:r w:rsidRPr="00BE3104">
              <w:rPr>
                <w:rFonts w:ascii="Calibri" w:eastAsia="Times New Roman" w:hAnsi="Calibri" w:cs="Calibri"/>
                <w:b w:val="0"/>
                <w:bCs w:val="0"/>
                <w:color w:val="203764"/>
                <w:sz w:val="20"/>
                <w:szCs w:val="20"/>
              </w:rPr>
              <w:t>Upper Ohio</w:t>
            </w:r>
          </w:p>
        </w:tc>
        <w:tc>
          <w:tcPr>
            <w:tcW w:w="2160" w:type="dxa"/>
            <w:noWrap/>
            <w:vAlign w:val="center"/>
            <w:hideMark/>
          </w:tcPr>
          <w:p w14:paraId="486C0018" w14:textId="77777777" w:rsidR="0073472C" w:rsidRPr="00BE3104" w:rsidRDefault="0073472C" w:rsidP="0073472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A33A74">
              <w:rPr>
                <w:rFonts w:ascii="Calibri" w:hAnsi="Calibri" w:cs="Calibri"/>
                <w:color w:val="000000"/>
                <w:sz w:val="20"/>
                <w:szCs w:val="20"/>
              </w:rPr>
              <w:t>13%</w:t>
            </w:r>
          </w:p>
        </w:tc>
      </w:tr>
      <w:tr w:rsidR="0073472C" w:rsidRPr="00BE3104" w14:paraId="4B533DFF" w14:textId="77777777" w:rsidTr="007347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7A9720D3" w14:textId="77777777" w:rsidR="0073472C" w:rsidRPr="00BE3104" w:rsidRDefault="0073472C" w:rsidP="0073472C">
            <w:pPr>
              <w:jc w:val="center"/>
              <w:rPr>
                <w:rFonts w:ascii="Calibri" w:eastAsia="Times New Roman" w:hAnsi="Calibri" w:cs="Calibri"/>
                <w:b w:val="0"/>
                <w:bCs w:val="0"/>
                <w:color w:val="203764"/>
                <w:sz w:val="20"/>
                <w:szCs w:val="20"/>
              </w:rPr>
            </w:pPr>
            <w:r w:rsidRPr="00BE3104">
              <w:rPr>
                <w:rFonts w:ascii="Calibri" w:eastAsia="Times New Roman" w:hAnsi="Calibri" w:cs="Calibri"/>
                <w:b w:val="0"/>
                <w:bCs w:val="0"/>
                <w:color w:val="203764"/>
                <w:sz w:val="20"/>
                <w:szCs w:val="20"/>
              </w:rPr>
              <w:t>Big Sandy</w:t>
            </w:r>
          </w:p>
        </w:tc>
        <w:tc>
          <w:tcPr>
            <w:tcW w:w="2160" w:type="dxa"/>
            <w:noWrap/>
            <w:vAlign w:val="center"/>
            <w:hideMark/>
          </w:tcPr>
          <w:p w14:paraId="12D332DF" w14:textId="77777777" w:rsidR="0073472C" w:rsidRPr="00BE3104" w:rsidRDefault="0073472C" w:rsidP="0073472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A33A74">
              <w:rPr>
                <w:rFonts w:ascii="Calibri" w:hAnsi="Calibri" w:cs="Calibri"/>
                <w:color w:val="000000"/>
                <w:sz w:val="20"/>
                <w:szCs w:val="20"/>
              </w:rPr>
              <w:t>11%</w:t>
            </w:r>
          </w:p>
        </w:tc>
      </w:tr>
      <w:tr w:rsidR="0073472C" w:rsidRPr="00BE3104" w14:paraId="2CBA71A8" w14:textId="77777777" w:rsidTr="0073472C">
        <w:trPr>
          <w:trHeight w:val="300"/>
        </w:trPr>
        <w:tc>
          <w:tcPr>
            <w:cnfStyle w:val="001000000000" w:firstRow="0" w:lastRow="0" w:firstColumn="1" w:lastColumn="0" w:oddVBand="0" w:evenVBand="0" w:oddHBand="0" w:evenHBand="0" w:firstRowFirstColumn="0" w:firstRowLastColumn="0" w:lastRowFirstColumn="0" w:lastRowLastColumn="0"/>
            <w:tcW w:w="2155" w:type="dxa"/>
            <w:noWrap/>
            <w:vAlign w:val="center"/>
            <w:hideMark/>
          </w:tcPr>
          <w:p w14:paraId="537E4730" w14:textId="77777777" w:rsidR="0073472C" w:rsidRPr="00BE3104" w:rsidRDefault="0073472C" w:rsidP="0073472C">
            <w:pPr>
              <w:jc w:val="center"/>
              <w:rPr>
                <w:rFonts w:ascii="Calibri" w:eastAsia="Times New Roman" w:hAnsi="Calibri" w:cs="Calibri"/>
                <w:b w:val="0"/>
                <w:bCs w:val="0"/>
                <w:color w:val="203764"/>
                <w:sz w:val="20"/>
                <w:szCs w:val="20"/>
              </w:rPr>
            </w:pPr>
            <w:r w:rsidRPr="00BE3104">
              <w:rPr>
                <w:rFonts w:ascii="Calibri" w:eastAsia="Times New Roman" w:hAnsi="Calibri" w:cs="Calibri"/>
                <w:b w:val="0"/>
                <w:bCs w:val="0"/>
                <w:color w:val="203764"/>
                <w:sz w:val="20"/>
                <w:szCs w:val="20"/>
              </w:rPr>
              <w:t>Lower Kanawha</w:t>
            </w:r>
          </w:p>
        </w:tc>
        <w:tc>
          <w:tcPr>
            <w:tcW w:w="2160" w:type="dxa"/>
            <w:noWrap/>
            <w:vAlign w:val="center"/>
            <w:hideMark/>
          </w:tcPr>
          <w:p w14:paraId="2E7DD754" w14:textId="77777777" w:rsidR="0073472C" w:rsidRPr="00BE3104" w:rsidRDefault="0073472C" w:rsidP="0073472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A33A74">
              <w:rPr>
                <w:rFonts w:ascii="Calibri" w:hAnsi="Calibri" w:cs="Calibri"/>
                <w:color w:val="000000"/>
                <w:sz w:val="20"/>
                <w:szCs w:val="20"/>
              </w:rPr>
              <w:t>10%</w:t>
            </w:r>
          </w:p>
        </w:tc>
      </w:tr>
    </w:tbl>
    <w:p w14:paraId="3C6713BD" w14:textId="77777777" w:rsidR="0073472C" w:rsidRDefault="0073472C" w:rsidP="0073472C">
      <w:pPr>
        <w:pStyle w:val="NormalWeb"/>
        <w:spacing w:before="300" w:beforeAutospacing="0" w:after="0" w:afterAutospacing="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Although Lower Kanawha </w:t>
      </w:r>
      <w:r w:rsidRPr="00CB6FC8">
        <w:rPr>
          <w:rFonts w:asciiTheme="minorHAnsi" w:eastAsiaTheme="minorHAnsi" w:hAnsiTheme="minorHAnsi" w:cstheme="minorBidi"/>
          <w:sz w:val="22"/>
          <w:szCs w:val="22"/>
        </w:rPr>
        <w:t xml:space="preserve">ranks sixth in terms of the percentage of floodplain area according to Table 1, the application of spatial data in this study reveals that </w:t>
      </w:r>
      <w:r>
        <w:rPr>
          <w:rFonts w:asciiTheme="minorHAnsi" w:eastAsiaTheme="minorHAnsi" w:hAnsiTheme="minorHAnsi" w:cstheme="minorBidi"/>
          <w:sz w:val="22"/>
          <w:szCs w:val="22"/>
        </w:rPr>
        <w:t>this watershed</w:t>
      </w:r>
      <w:r w:rsidRPr="00CB6FC8">
        <w:rPr>
          <w:rFonts w:asciiTheme="minorHAnsi" w:eastAsiaTheme="minorHAnsi" w:hAnsiTheme="minorHAnsi" w:cstheme="minorBidi"/>
          <w:sz w:val="22"/>
          <w:szCs w:val="22"/>
        </w:rPr>
        <w:t xml:space="preserve"> has the </w:t>
      </w:r>
      <w:r>
        <w:rPr>
          <w:rFonts w:asciiTheme="minorHAnsi" w:eastAsiaTheme="minorHAnsi" w:hAnsiTheme="minorHAnsi" w:cstheme="minorBidi"/>
          <w:sz w:val="22"/>
          <w:szCs w:val="22"/>
        </w:rPr>
        <w:t>most extensive</w:t>
      </w:r>
      <w:r w:rsidRPr="00CB6FC8">
        <w:rPr>
          <w:rFonts w:asciiTheme="minorHAnsi" w:eastAsiaTheme="minorHAnsi" w:hAnsiTheme="minorHAnsi" w:cstheme="minorBidi"/>
          <w:sz w:val="22"/>
          <w:szCs w:val="22"/>
        </w:rPr>
        <w:t xml:space="preserve"> flood zone area, covering 139 square miles, with 111 miles of it falling within flood zone A. Following closely is South Branch Potomac, with 113 square miles of floodplain area and 83 miles within flood zone A.</w:t>
      </w:r>
      <w:r>
        <w:rPr>
          <w:rFonts w:asciiTheme="minorHAnsi" w:eastAsiaTheme="minorHAnsi" w:hAnsiTheme="minorHAnsi" w:cstheme="minorBidi"/>
          <w:sz w:val="22"/>
          <w:szCs w:val="22"/>
        </w:rPr>
        <w:t xml:space="preserve"> In addition, flood zone AE is broadly extended in </w:t>
      </w:r>
      <w:r w:rsidRPr="005F2200">
        <w:rPr>
          <w:rFonts w:asciiTheme="minorHAnsi" w:eastAsiaTheme="minorHAnsi" w:hAnsiTheme="minorHAnsi" w:cstheme="minorBidi"/>
          <w:sz w:val="22"/>
          <w:szCs w:val="22"/>
        </w:rPr>
        <w:t>Raccoon-</w:t>
      </w:r>
      <w:proofErr w:type="spellStart"/>
      <w:r w:rsidRPr="005F2200">
        <w:rPr>
          <w:rFonts w:asciiTheme="minorHAnsi" w:eastAsiaTheme="minorHAnsi" w:hAnsiTheme="minorHAnsi" w:cstheme="minorBidi"/>
          <w:sz w:val="22"/>
          <w:szCs w:val="22"/>
        </w:rPr>
        <w:t>Symmes</w:t>
      </w:r>
      <w:proofErr w:type="spellEnd"/>
      <w:r>
        <w:rPr>
          <w:rFonts w:asciiTheme="minorHAnsi" w:eastAsiaTheme="minorHAnsi" w:hAnsiTheme="minorHAnsi" w:cstheme="minorBidi"/>
          <w:sz w:val="22"/>
          <w:szCs w:val="22"/>
        </w:rPr>
        <w:t xml:space="preserve">, Upper Ohio, and Upper Ohio-Shade watersheds. The percentage of </w:t>
      </w:r>
      <w:r w:rsidRPr="005F2200">
        <w:rPr>
          <w:rFonts w:asciiTheme="minorHAnsi" w:eastAsiaTheme="minorHAnsi" w:hAnsiTheme="minorHAnsi" w:cstheme="minorBidi"/>
          <w:sz w:val="22"/>
          <w:szCs w:val="22"/>
        </w:rPr>
        <w:t xml:space="preserve">Flood zone AE in </w:t>
      </w:r>
      <w:r>
        <w:rPr>
          <w:rFonts w:asciiTheme="minorHAnsi" w:eastAsiaTheme="minorHAnsi" w:hAnsiTheme="minorHAnsi" w:cstheme="minorBidi"/>
          <w:sz w:val="22"/>
          <w:szCs w:val="22"/>
        </w:rPr>
        <w:t>these watersheds are 19%, 13%, and 10%, respectively.</w:t>
      </w:r>
    </w:p>
    <w:p w14:paraId="706E5959" w14:textId="3879C867" w:rsidR="00E85CFF" w:rsidRDefault="00E85CFF" w:rsidP="0066594A">
      <w:pPr>
        <w:pStyle w:val="NormalWeb"/>
        <w:spacing w:before="0" w:beforeAutospacing="0" w:after="0" w:afterAutospacing="0"/>
        <w:rPr>
          <w:rFonts w:asciiTheme="minorHAnsi" w:eastAsiaTheme="minorHAnsi" w:hAnsiTheme="minorHAnsi" w:cstheme="minorBidi"/>
          <w:sz w:val="22"/>
          <w:szCs w:val="22"/>
        </w:rPr>
      </w:pPr>
    </w:p>
    <w:p w14:paraId="3309E040" w14:textId="77777777" w:rsidR="0073472C" w:rsidRDefault="0073472C" w:rsidP="0066594A">
      <w:pPr>
        <w:pStyle w:val="NormalWeb"/>
        <w:spacing w:before="0" w:beforeAutospacing="0" w:after="0" w:afterAutospacing="0"/>
        <w:rPr>
          <w:rFonts w:asciiTheme="minorHAnsi" w:eastAsiaTheme="minorHAnsi" w:hAnsiTheme="minorHAnsi" w:cstheme="minorBidi"/>
          <w:sz w:val="22"/>
          <w:szCs w:val="22"/>
        </w:rPr>
      </w:pPr>
    </w:p>
    <w:p w14:paraId="3BA2940A" w14:textId="5CA011BF" w:rsidR="0073472C" w:rsidRDefault="0073472C" w:rsidP="0066594A">
      <w:pPr>
        <w:pStyle w:val="NormalWeb"/>
        <w:spacing w:before="0" w:beforeAutospacing="0" w:after="0" w:afterAutospacing="0"/>
        <w:rPr>
          <w:rFonts w:asciiTheme="minorHAnsi" w:eastAsiaTheme="minorHAnsi" w:hAnsiTheme="minorHAnsi" w:cstheme="minorBidi"/>
          <w:sz w:val="22"/>
          <w:szCs w:val="22"/>
        </w:rPr>
      </w:pPr>
    </w:p>
    <w:p w14:paraId="03D5BA89" w14:textId="78A71486" w:rsidR="0073472C" w:rsidRDefault="0073472C" w:rsidP="0066594A">
      <w:pPr>
        <w:pStyle w:val="NormalWeb"/>
        <w:spacing w:before="0" w:beforeAutospacing="0" w:after="0" w:afterAutospacing="0"/>
        <w:rPr>
          <w:rFonts w:asciiTheme="minorHAnsi" w:eastAsiaTheme="minorHAnsi" w:hAnsiTheme="minorHAnsi" w:cstheme="minorBidi"/>
          <w:sz w:val="22"/>
          <w:szCs w:val="22"/>
        </w:rPr>
      </w:pPr>
    </w:p>
    <w:p w14:paraId="3CCB597B" w14:textId="1EA034A1" w:rsidR="0073472C" w:rsidRDefault="0073472C" w:rsidP="0066594A">
      <w:pPr>
        <w:pStyle w:val="NormalWeb"/>
        <w:spacing w:before="0" w:beforeAutospacing="0" w:after="0" w:afterAutospacing="0"/>
        <w:rPr>
          <w:rFonts w:asciiTheme="minorHAnsi" w:eastAsiaTheme="minorHAnsi" w:hAnsiTheme="minorHAnsi" w:cstheme="minorBidi"/>
          <w:sz w:val="22"/>
          <w:szCs w:val="22"/>
        </w:rPr>
      </w:pPr>
    </w:p>
    <w:p w14:paraId="030FDA0F" w14:textId="60D6BC71" w:rsidR="0073472C" w:rsidRDefault="0073472C" w:rsidP="0066594A">
      <w:pPr>
        <w:pStyle w:val="NormalWeb"/>
        <w:spacing w:before="0" w:beforeAutospacing="0" w:after="0" w:afterAutospacing="0"/>
        <w:rPr>
          <w:rFonts w:asciiTheme="minorHAnsi" w:eastAsiaTheme="minorHAnsi" w:hAnsiTheme="minorHAnsi" w:cstheme="minorBidi"/>
          <w:sz w:val="22"/>
          <w:szCs w:val="22"/>
        </w:rPr>
      </w:pPr>
    </w:p>
    <w:p w14:paraId="290817AA" w14:textId="089C8E78" w:rsidR="0073472C" w:rsidRDefault="0073472C" w:rsidP="0066594A">
      <w:pPr>
        <w:pStyle w:val="NormalWeb"/>
        <w:spacing w:before="0" w:beforeAutospacing="0" w:after="0" w:afterAutospacing="0"/>
        <w:rPr>
          <w:rFonts w:asciiTheme="minorHAnsi" w:eastAsiaTheme="minorHAnsi" w:hAnsiTheme="minorHAnsi" w:cstheme="minorBidi"/>
          <w:sz w:val="22"/>
          <w:szCs w:val="22"/>
        </w:rPr>
      </w:pPr>
    </w:p>
    <w:p w14:paraId="791255B4" w14:textId="0629B070" w:rsidR="0073472C" w:rsidRDefault="0073472C" w:rsidP="0066594A">
      <w:pPr>
        <w:pStyle w:val="NormalWeb"/>
        <w:spacing w:before="0" w:beforeAutospacing="0" w:after="0" w:afterAutospacing="0"/>
        <w:rPr>
          <w:rFonts w:asciiTheme="minorHAnsi" w:eastAsiaTheme="minorHAnsi" w:hAnsiTheme="minorHAnsi" w:cstheme="minorBidi"/>
          <w:sz w:val="22"/>
          <w:szCs w:val="22"/>
        </w:rPr>
      </w:pPr>
    </w:p>
    <w:p w14:paraId="08627276" w14:textId="33A6D643" w:rsidR="0073472C" w:rsidRDefault="0073472C" w:rsidP="0066594A">
      <w:pPr>
        <w:pStyle w:val="NormalWeb"/>
        <w:spacing w:before="0" w:beforeAutospacing="0" w:after="0" w:afterAutospacing="0"/>
        <w:rPr>
          <w:rFonts w:asciiTheme="minorHAnsi" w:eastAsiaTheme="minorHAnsi" w:hAnsiTheme="minorHAnsi" w:cstheme="minorBidi"/>
          <w:sz w:val="22"/>
          <w:szCs w:val="22"/>
        </w:rPr>
      </w:pPr>
    </w:p>
    <w:p w14:paraId="2276A57A" w14:textId="7497FA0D" w:rsidR="0073472C" w:rsidRDefault="0073472C" w:rsidP="0066594A">
      <w:pPr>
        <w:pStyle w:val="NormalWeb"/>
        <w:spacing w:before="0" w:beforeAutospacing="0" w:after="0" w:afterAutospacing="0"/>
        <w:rPr>
          <w:rFonts w:asciiTheme="minorHAnsi" w:eastAsiaTheme="minorHAnsi" w:hAnsiTheme="minorHAnsi" w:cstheme="minorBidi"/>
          <w:sz w:val="22"/>
          <w:szCs w:val="22"/>
        </w:rPr>
      </w:pPr>
    </w:p>
    <w:p w14:paraId="0560C5FA" w14:textId="77777777" w:rsidR="0073472C" w:rsidRDefault="0073472C" w:rsidP="0066594A">
      <w:pPr>
        <w:pStyle w:val="NormalWeb"/>
        <w:spacing w:before="0" w:beforeAutospacing="0" w:after="0" w:afterAutospacing="0"/>
        <w:rPr>
          <w:rFonts w:asciiTheme="minorHAnsi" w:eastAsiaTheme="minorHAnsi" w:hAnsiTheme="minorHAnsi" w:cstheme="minorBidi"/>
          <w:sz w:val="22"/>
          <w:szCs w:val="22"/>
        </w:rPr>
      </w:pPr>
    </w:p>
    <w:p w14:paraId="7E90BDF7" w14:textId="11D495C8" w:rsidR="00E85CFF" w:rsidRDefault="00E85CFF" w:rsidP="0066594A">
      <w:pPr>
        <w:pStyle w:val="NormalWeb"/>
        <w:spacing w:before="0" w:beforeAutospacing="0" w:after="0" w:afterAutospacing="0"/>
        <w:rPr>
          <w:rFonts w:asciiTheme="minorHAnsi" w:eastAsiaTheme="minorHAnsi" w:hAnsiTheme="minorHAnsi" w:cstheme="minorBidi"/>
          <w:sz w:val="22"/>
          <w:szCs w:val="22"/>
        </w:rPr>
      </w:pPr>
    </w:p>
    <w:p w14:paraId="47064E39" w14:textId="48EEC7BE" w:rsidR="00E85CFF" w:rsidRPr="007262A3" w:rsidRDefault="00655B99" w:rsidP="00655B99">
      <w:pPr>
        <w:pStyle w:val="Caption"/>
        <w:jc w:val="center"/>
        <w:rPr>
          <w:i w:val="0"/>
          <w:iCs w:val="0"/>
          <w:color w:val="auto"/>
          <w:sz w:val="22"/>
          <w:szCs w:val="22"/>
        </w:rPr>
      </w:pPr>
      <w:r w:rsidRPr="007262A3">
        <w:rPr>
          <w:b/>
          <w:bCs/>
          <w:i w:val="0"/>
          <w:iCs w:val="0"/>
          <w:color w:val="auto"/>
        </w:rPr>
        <w:t xml:space="preserve">Table </w:t>
      </w:r>
      <w:r w:rsidRPr="007262A3">
        <w:rPr>
          <w:b/>
          <w:bCs/>
          <w:i w:val="0"/>
          <w:iCs w:val="0"/>
          <w:color w:val="auto"/>
        </w:rPr>
        <w:fldChar w:fldCharType="begin"/>
      </w:r>
      <w:r w:rsidRPr="007262A3">
        <w:rPr>
          <w:b/>
          <w:bCs/>
          <w:i w:val="0"/>
          <w:iCs w:val="0"/>
          <w:color w:val="auto"/>
        </w:rPr>
        <w:instrText xml:space="preserve"> SEQ Table \* ARABIC </w:instrText>
      </w:r>
      <w:r w:rsidRPr="007262A3">
        <w:rPr>
          <w:b/>
          <w:bCs/>
          <w:i w:val="0"/>
          <w:iCs w:val="0"/>
          <w:color w:val="auto"/>
        </w:rPr>
        <w:fldChar w:fldCharType="separate"/>
      </w:r>
      <w:r w:rsidR="00CE0EBA">
        <w:rPr>
          <w:b/>
          <w:bCs/>
          <w:i w:val="0"/>
          <w:iCs w:val="0"/>
          <w:noProof/>
          <w:color w:val="auto"/>
        </w:rPr>
        <w:t>1</w:t>
      </w:r>
      <w:r w:rsidRPr="007262A3">
        <w:rPr>
          <w:b/>
          <w:bCs/>
          <w:i w:val="0"/>
          <w:iCs w:val="0"/>
          <w:color w:val="auto"/>
        </w:rPr>
        <w:fldChar w:fldCharType="end"/>
      </w:r>
      <w:r w:rsidRPr="007262A3">
        <w:rPr>
          <w:i w:val="0"/>
          <w:iCs w:val="0"/>
          <w:color w:val="auto"/>
        </w:rPr>
        <w:t xml:space="preserve"> Percentage of the 100-year flood zone in WV watersheds</w:t>
      </w:r>
    </w:p>
    <w:p w14:paraId="6292E9FD" w14:textId="77777777" w:rsidR="00B878EA" w:rsidRPr="0066594A" w:rsidRDefault="00B878EA" w:rsidP="00B41D20">
      <w:pPr>
        <w:pStyle w:val="NormalWeb"/>
        <w:spacing w:before="300" w:beforeAutospacing="0" w:after="0" w:afterAutospacing="0"/>
        <w:rPr>
          <w:rFonts w:asciiTheme="minorHAnsi" w:eastAsiaTheme="minorHAnsi" w:hAnsiTheme="minorHAnsi" w:cstheme="minorBidi"/>
          <w:sz w:val="22"/>
          <w:szCs w:val="22"/>
        </w:rPr>
      </w:pPr>
    </w:p>
    <w:p w14:paraId="28AF47D4" w14:textId="2A390A77" w:rsidR="00B05E29" w:rsidRPr="00216D39" w:rsidRDefault="00216D39" w:rsidP="00B05E29">
      <w:pPr>
        <w:rPr>
          <w:b/>
          <w:bCs/>
          <w:i/>
          <w:iCs/>
        </w:rPr>
      </w:pPr>
      <w:r w:rsidRPr="00216D39">
        <w:rPr>
          <w:b/>
          <w:bCs/>
          <w:i/>
          <w:iCs/>
        </w:rPr>
        <w:t>Top Streams in the Watershed</w:t>
      </w:r>
      <w:r w:rsidR="009D1E54">
        <w:rPr>
          <w:b/>
          <w:bCs/>
          <w:i/>
          <w:iCs/>
        </w:rPr>
        <w:t>s</w:t>
      </w:r>
    </w:p>
    <w:p w14:paraId="44123803" w14:textId="4A028FF7" w:rsidR="0066594A" w:rsidRDefault="00D03C0D" w:rsidP="00D03C0D">
      <w:r>
        <w:t>Analyzing these watersheds regarding stream lengths clarifies</w:t>
      </w:r>
      <w:r w:rsidRPr="00D11913">
        <w:t xml:space="preserve"> that the Little Kanawha watershed boasts the highest total length of streams, amounting to </w:t>
      </w:r>
      <w:r>
        <w:t>2017</w:t>
      </w:r>
      <w:r w:rsidRPr="00D11913">
        <w:t xml:space="preserve"> miles. In contrast, </w:t>
      </w:r>
      <w:r>
        <w:t xml:space="preserve">Elk and </w:t>
      </w:r>
      <w:r w:rsidRPr="00D11913">
        <w:t xml:space="preserve">Gauley watersheds rank second and third, with stream lengths of </w:t>
      </w:r>
      <w:r>
        <w:t>1,298</w:t>
      </w:r>
      <w:r w:rsidRPr="00D11913">
        <w:t xml:space="preserve"> and </w:t>
      </w:r>
      <w:r>
        <w:t>1,176</w:t>
      </w:r>
      <w:r w:rsidRPr="00D11913">
        <w:t xml:space="preserve"> miles, respectively. </w:t>
      </w:r>
      <w:r>
        <w:t xml:space="preserve">The </w:t>
      </w:r>
      <w:r w:rsidRPr="00E34540">
        <w:t xml:space="preserve">Youghiogheny </w:t>
      </w:r>
      <w:r>
        <w:t>Watershed ha</w:t>
      </w:r>
      <w:r w:rsidRPr="00D11913">
        <w:t xml:space="preserve">s the shortest stream length, measuring only </w:t>
      </w:r>
      <w:r>
        <w:t>49.9</w:t>
      </w:r>
      <w:r w:rsidRPr="00D11913">
        <w:t xml:space="preserve"> miles.</w:t>
      </w:r>
      <w:r>
        <w:t xml:space="preserve"> </w:t>
      </w:r>
      <w:r w:rsidR="00F91614">
        <w:t xml:space="preserve">The </w:t>
      </w:r>
      <w:r w:rsidR="00CE0EBA">
        <w:t>total stream length for each of these five highest has</w:t>
      </w:r>
      <w:r w:rsidR="00807DB3">
        <w:t xml:space="preserve"> been described in Table</w:t>
      </w:r>
      <w:r w:rsidR="00C11A0A">
        <w:t xml:space="preserve"> </w:t>
      </w:r>
      <w:r w:rsidR="00807DB3">
        <w:t>2.</w:t>
      </w:r>
    </w:p>
    <w:tbl>
      <w:tblPr>
        <w:tblStyle w:val="GridTable6Colorful-Accent1"/>
        <w:tblW w:w="3931" w:type="dxa"/>
        <w:tblInd w:w="2709" w:type="dxa"/>
        <w:tblLook w:val="04A0" w:firstRow="1" w:lastRow="0" w:firstColumn="1" w:lastColumn="0" w:noHBand="0" w:noVBand="1"/>
      </w:tblPr>
      <w:tblGrid>
        <w:gridCol w:w="1636"/>
        <w:gridCol w:w="2295"/>
      </w:tblGrid>
      <w:tr w:rsidR="00655AEF" w:rsidRPr="00AB31C0" w14:paraId="623A4C14" w14:textId="77777777" w:rsidTr="00F804A9">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636" w:type="dxa"/>
            <w:shd w:val="clear" w:color="auto" w:fill="2F5496"/>
            <w:vAlign w:val="center"/>
            <w:hideMark/>
          </w:tcPr>
          <w:p w14:paraId="10174A93" w14:textId="77777777" w:rsidR="00655AEF" w:rsidRPr="00AB31C0" w:rsidRDefault="00655AEF" w:rsidP="00F91614">
            <w:pPr>
              <w:jc w:val="center"/>
              <w:rPr>
                <w:rFonts w:ascii="Calibri" w:eastAsia="Times New Roman" w:hAnsi="Calibri" w:cs="Calibri"/>
                <w:color w:val="FFFFFF" w:themeColor="background1"/>
                <w:sz w:val="20"/>
                <w:szCs w:val="20"/>
              </w:rPr>
            </w:pPr>
            <w:r w:rsidRPr="00AB31C0">
              <w:rPr>
                <w:rFonts w:ascii="Calibri" w:eastAsia="Times New Roman" w:hAnsi="Calibri" w:cs="Calibri"/>
                <w:color w:val="FFFFFF" w:themeColor="background1"/>
                <w:sz w:val="20"/>
                <w:szCs w:val="20"/>
              </w:rPr>
              <w:t>Stream Name</w:t>
            </w:r>
          </w:p>
        </w:tc>
        <w:tc>
          <w:tcPr>
            <w:tcW w:w="2295" w:type="dxa"/>
            <w:shd w:val="clear" w:color="auto" w:fill="2F5496"/>
            <w:vAlign w:val="center"/>
            <w:hideMark/>
          </w:tcPr>
          <w:p w14:paraId="689497B5" w14:textId="63DDEDCD" w:rsidR="00655AEF" w:rsidRPr="00AB31C0" w:rsidRDefault="00655AEF" w:rsidP="00F9161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themeColor="background1"/>
                <w:sz w:val="20"/>
                <w:szCs w:val="20"/>
              </w:rPr>
            </w:pPr>
            <w:r>
              <w:rPr>
                <w:rFonts w:ascii="Calibri" w:eastAsia="Times New Roman" w:hAnsi="Calibri" w:cs="Calibri"/>
                <w:color w:val="FFFFFF" w:themeColor="background1"/>
                <w:sz w:val="20"/>
                <w:szCs w:val="20"/>
              </w:rPr>
              <w:t>Total Stream Length</w:t>
            </w:r>
          </w:p>
        </w:tc>
      </w:tr>
      <w:tr w:rsidR="009E6D02" w:rsidRPr="00AB31C0" w14:paraId="42201F4D" w14:textId="77777777" w:rsidTr="00F80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6" w:type="dxa"/>
            <w:noWrap/>
            <w:vAlign w:val="center"/>
            <w:hideMark/>
          </w:tcPr>
          <w:p w14:paraId="71857600" w14:textId="7357D4C3" w:rsidR="009E6D02" w:rsidRPr="00AB31C0" w:rsidRDefault="009E6D02" w:rsidP="006B27DE">
            <w:pPr>
              <w:jc w:val="center"/>
              <w:rPr>
                <w:rFonts w:ascii="Calibri" w:eastAsia="Times New Roman" w:hAnsi="Calibri" w:cs="Calibri"/>
                <w:b w:val="0"/>
                <w:bCs w:val="0"/>
                <w:color w:val="000000"/>
                <w:sz w:val="20"/>
                <w:szCs w:val="20"/>
              </w:rPr>
            </w:pPr>
            <w:r>
              <w:rPr>
                <w:rFonts w:ascii="Calibri" w:eastAsia="Times New Roman" w:hAnsi="Calibri" w:cs="Calibri"/>
                <w:b w:val="0"/>
                <w:bCs w:val="0"/>
                <w:color w:val="000000"/>
                <w:sz w:val="20"/>
                <w:szCs w:val="20"/>
              </w:rPr>
              <w:t xml:space="preserve">Little </w:t>
            </w:r>
            <w:r w:rsidR="006B27DE">
              <w:rPr>
                <w:rFonts w:ascii="Calibri" w:eastAsia="Times New Roman" w:hAnsi="Calibri" w:cs="Calibri"/>
                <w:b w:val="0"/>
                <w:bCs w:val="0"/>
                <w:color w:val="000000"/>
                <w:sz w:val="20"/>
                <w:szCs w:val="20"/>
              </w:rPr>
              <w:t>Kanawha</w:t>
            </w:r>
            <w:r>
              <w:rPr>
                <w:rFonts w:ascii="Calibri" w:eastAsia="Times New Roman" w:hAnsi="Calibri" w:cs="Calibri"/>
                <w:b w:val="0"/>
                <w:bCs w:val="0"/>
                <w:color w:val="000000"/>
                <w:sz w:val="20"/>
                <w:szCs w:val="20"/>
              </w:rPr>
              <w:t xml:space="preserve"> </w:t>
            </w:r>
          </w:p>
        </w:tc>
        <w:tc>
          <w:tcPr>
            <w:tcW w:w="2295" w:type="dxa"/>
            <w:noWrap/>
            <w:hideMark/>
          </w:tcPr>
          <w:p w14:paraId="280CDCEE" w14:textId="413C17A0" w:rsidR="009E6D02" w:rsidRPr="009E6D02" w:rsidRDefault="009E6D02" w:rsidP="009E6D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0"/>
                <w:szCs w:val="20"/>
              </w:rPr>
            </w:pPr>
            <w:r w:rsidRPr="009E6D02">
              <w:rPr>
                <w:color w:val="auto"/>
                <w:sz w:val="20"/>
                <w:szCs w:val="20"/>
              </w:rPr>
              <w:t>2</w:t>
            </w:r>
            <w:r w:rsidR="00FC3C5E">
              <w:rPr>
                <w:color w:val="auto"/>
                <w:sz w:val="20"/>
                <w:szCs w:val="20"/>
              </w:rPr>
              <w:t>,</w:t>
            </w:r>
            <w:r w:rsidR="00984FBB">
              <w:rPr>
                <w:color w:val="auto"/>
                <w:sz w:val="20"/>
                <w:szCs w:val="20"/>
              </w:rPr>
              <w:t>017</w:t>
            </w:r>
          </w:p>
        </w:tc>
      </w:tr>
      <w:tr w:rsidR="009E6D02" w:rsidRPr="00AB31C0" w14:paraId="4F0EBE83" w14:textId="77777777" w:rsidTr="00F804A9">
        <w:trPr>
          <w:trHeight w:val="300"/>
        </w:trPr>
        <w:tc>
          <w:tcPr>
            <w:cnfStyle w:val="001000000000" w:firstRow="0" w:lastRow="0" w:firstColumn="1" w:lastColumn="0" w:oddVBand="0" w:evenVBand="0" w:oddHBand="0" w:evenHBand="0" w:firstRowFirstColumn="0" w:firstRowLastColumn="0" w:lastRowFirstColumn="0" w:lastRowLastColumn="0"/>
            <w:tcW w:w="1636" w:type="dxa"/>
            <w:noWrap/>
            <w:vAlign w:val="center"/>
            <w:hideMark/>
          </w:tcPr>
          <w:p w14:paraId="655DB2F3" w14:textId="50935B5A" w:rsidR="009E6D02" w:rsidRPr="00AB31C0" w:rsidRDefault="009E6D02" w:rsidP="009E6D02">
            <w:pPr>
              <w:jc w:val="center"/>
              <w:rPr>
                <w:rFonts w:ascii="Calibri" w:eastAsia="Times New Roman" w:hAnsi="Calibri" w:cs="Calibri"/>
                <w:b w:val="0"/>
                <w:bCs w:val="0"/>
                <w:color w:val="000000"/>
                <w:sz w:val="20"/>
                <w:szCs w:val="20"/>
              </w:rPr>
            </w:pPr>
            <w:r w:rsidRPr="00AB31C0">
              <w:rPr>
                <w:rFonts w:ascii="Calibri" w:eastAsia="Times New Roman" w:hAnsi="Calibri" w:cs="Calibri"/>
                <w:b w:val="0"/>
                <w:bCs w:val="0"/>
                <w:color w:val="000000"/>
                <w:sz w:val="20"/>
                <w:szCs w:val="20"/>
              </w:rPr>
              <w:t xml:space="preserve">Elk </w:t>
            </w:r>
          </w:p>
        </w:tc>
        <w:tc>
          <w:tcPr>
            <w:tcW w:w="2295" w:type="dxa"/>
            <w:noWrap/>
            <w:hideMark/>
          </w:tcPr>
          <w:p w14:paraId="56A6F648" w14:textId="2CCF0557" w:rsidR="009E6D02" w:rsidRPr="009E6D02" w:rsidRDefault="009E6D02" w:rsidP="009E6D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rPr>
            </w:pPr>
            <w:r w:rsidRPr="009E6D02">
              <w:rPr>
                <w:color w:val="auto"/>
                <w:sz w:val="20"/>
                <w:szCs w:val="20"/>
              </w:rPr>
              <w:t>1</w:t>
            </w:r>
            <w:r w:rsidR="00FC3C5E">
              <w:rPr>
                <w:color w:val="auto"/>
                <w:sz w:val="20"/>
                <w:szCs w:val="20"/>
              </w:rPr>
              <w:t>,</w:t>
            </w:r>
            <w:r w:rsidR="00984FBB">
              <w:rPr>
                <w:color w:val="auto"/>
                <w:sz w:val="20"/>
                <w:szCs w:val="20"/>
              </w:rPr>
              <w:t>298</w:t>
            </w:r>
          </w:p>
        </w:tc>
      </w:tr>
      <w:tr w:rsidR="009E6D02" w:rsidRPr="00AB31C0" w14:paraId="49047A16" w14:textId="77777777" w:rsidTr="00F80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6" w:type="dxa"/>
            <w:noWrap/>
            <w:vAlign w:val="center"/>
            <w:hideMark/>
          </w:tcPr>
          <w:p w14:paraId="03AF784B" w14:textId="7B0308B7" w:rsidR="009E6D02" w:rsidRPr="00AB31C0" w:rsidRDefault="009E6D02" w:rsidP="009E6D02">
            <w:pPr>
              <w:jc w:val="center"/>
              <w:rPr>
                <w:rFonts w:ascii="Calibri" w:eastAsia="Times New Roman" w:hAnsi="Calibri" w:cs="Calibri"/>
                <w:b w:val="0"/>
                <w:bCs w:val="0"/>
                <w:color w:val="000000"/>
                <w:sz w:val="20"/>
                <w:szCs w:val="20"/>
              </w:rPr>
            </w:pPr>
            <w:r w:rsidRPr="00655AEF">
              <w:rPr>
                <w:rFonts w:ascii="Calibri" w:eastAsia="Times New Roman" w:hAnsi="Calibri" w:cs="Calibri"/>
                <w:b w:val="0"/>
                <w:bCs w:val="0"/>
                <w:color w:val="000000"/>
                <w:sz w:val="20"/>
                <w:szCs w:val="20"/>
              </w:rPr>
              <w:t>Gauley</w:t>
            </w:r>
          </w:p>
        </w:tc>
        <w:tc>
          <w:tcPr>
            <w:tcW w:w="2295" w:type="dxa"/>
            <w:noWrap/>
            <w:hideMark/>
          </w:tcPr>
          <w:p w14:paraId="7DA67A68" w14:textId="704C1BB6" w:rsidR="009E6D02" w:rsidRPr="009E6D02" w:rsidRDefault="009E6D02" w:rsidP="009E6D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0"/>
                <w:szCs w:val="20"/>
              </w:rPr>
            </w:pPr>
            <w:r w:rsidRPr="009E6D02">
              <w:rPr>
                <w:color w:val="auto"/>
                <w:sz w:val="20"/>
                <w:szCs w:val="20"/>
              </w:rPr>
              <w:t>1</w:t>
            </w:r>
            <w:r w:rsidR="00FC3C5E">
              <w:rPr>
                <w:color w:val="auto"/>
                <w:sz w:val="20"/>
                <w:szCs w:val="20"/>
              </w:rPr>
              <w:t>,</w:t>
            </w:r>
            <w:r w:rsidR="00984FBB">
              <w:rPr>
                <w:color w:val="auto"/>
                <w:sz w:val="20"/>
                <w:szCs w:val="20"/>
              </w:rPr>
              <w:t>176</w:t>
            </w:r>
          </w:p>
        </w:tc>
      </w:tr>
      <w:tr w:rsidR="009E6D02" w:rsidRPr="00AB31C0" w14:paraId="69BB7C75" w14:textId="77777777" w:rsidTr="00F804A9">
        <w:trPr>
          <w:trHeight w:val="300"/>
        </w:trPr>
        <w:tc>
          <w:tcPr>
            <w:cnfStyle w:val="001000000000" w:firstRow="0" w:lastRow="0" w:firstColumn="1" w:lastColumn="0" w:oddVBand="0" w:evenVBand="0" w:oddHBand="0" w:evenHBand="0" w:firstRowFirstColumn="0" w:firstRowLastColumn="0" w:lastRowFirstColumn="0" w:lastRowLastColumn="0"/>
            <w:tcW w:w="1636" w:type="dxa"/>
            <w:noWrap/>
            <w:vAlign w:val="center"/>
            <w:hideMark/>
          </w:tcPr>
          <w:p w14:paraId="4BCC786E" w14:textId="2ACDFE0D" w:rsidR="009E6D02" w:rsidRPr="00AB31C0" w:rsidRDefault="009E6D02" w:rsidP="009E6D02">
            <w:pPr>
              <w:jc w:val="center"/>
              <w:rPr>
                <w:rFonts w:ascii="Calibri" w:eastAsia="Times New Roman" w:hAnsi="Calibri" w:cs="Calibri"/>
                <w:b w:val="0"/>
                <w:bCs w:val="0"/>
                <w:color w:val="000000"/>
                <w:sz w:val="20"/>
                <w:szCs w:val="20"/>
              </w:rPr>
            </w:pPr>
            <w:r w:rsidRPr="00655AEF">
              <w:rPr>
                <w:rFonts w:ascii="Calibri" w:eastAsia="Times New Roman" w:hAnsi="Calibri" w:cs="Calibri"/>
                <w:b w:val="0"/>
                <w:bCs w:val="0"/>
                <w:color w:val="000000"/>
                <w:sz w:val="20"/>
                <w:szCs w:val="20"/>
              </w:rPr>
              <w:t>Greenbrier</w:t>
            </w:r>
          </w:p>
        </w:tc>
        <w:tc>
          <w:tcPr>
            <w:tcW w:w="2295" w:type="dxa"/>
            <w:noWrap/>
            <w:hideMark/>
          </w:tcPr>
          <w:p w14:paraId="7E34F703" w14:textId="3C2E76AE" w:rsidR="009E6D02" w:rsidRPr="009E6D02" w:rsidRDefault="009E6D02" w:rsidP="009E6D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rPr>
            </w:pPr>
            <w:r w:rsidRPr="009E6D02">
              <w:rPr>
                <w:color w:val="auto"/>
                <w:sz w:val="20"/>
                <w:szCs w:val="20"/>
              </w:rPr>
              <w:t>1</w:t>
            </w:r>
            <w:r w:rsidR="00FC3C5E">
              <w:rPr>
                <w:color w:val="auto"/>
                <w:sz w:val="20"/>
                <w:szCs w:val="20"/>
              </w:rPr>
              <w:t>,</w:t>
            </w:r>
            <w:r w:rsidR="00984FBB">
              <w:rPr>
                <w:color w:val="auto"/>
                <w:sz w:val="20"/>
                <w:szCs w:val="20"/>
              </w:rPr>
              <w:t>173</w:t>
            </w:r>
          </w:p>
        </w:tc>
      </w:tr>
      <w:tr w:rsidR="00655AEF" w:rsidRPr="00AB31C0" w14:paraId="114EFBC9" w14:textId="77777777" w:rsidTr="00F80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6" w:type="dxa"/>
            <w:noWrap/>
            <w:vAlign w:val="center"/>
            <w:hideMark/>
          </w:tcPr>
          <w:p w14:paraId="58A2716A" w14:textId="10841474" w:rsidR="00655AEF" w:rsidRPr="00AB31C0" w:rsidRDefault="00655AEF" w:rsidP="00F91614">
            <w:pPr>
              <w:jc w:val="center"/>
              <w:rPr>
                <w:rFonts w:ascii="Calibri" w:eastAsia="Times New Roman" w:hAnsi="Calibri" w:cs="Calibri"/>
                <w:b w:val="0"/>
                <w:bCs w:val="0"/>
                <w:color w:val="000000"/>
                <w:sz w:val="20"/>
                <w:szCs w:val="20"/>
              </w:rPr>
            </w:pPr>
            <w:r w:rsidRPr="00655AEF">
              <w:rPr>
                <w:rFonts w:ascii="Calibri" w:eastAsia="Times New Roman" w:hAnsi="Calibri" w:cs="Calibri"/>
                <w:b w:val="0"/>
                <w:bCs w:val="0"/>
                <w:color w:val="000000"/>
                <w:sz w:val="20"/>
                <w:szCs w:val="20"/>
              </w:rPr>
              <w:t>Tygart Valley</w:t>
            </w:r>
          </w:p>
        </w:tc>
        <w:tc>
          <w:tcPr>
            <w:tcW w:w="2295" w:type="dxa"/>
            <w:noWrap/>
            <w:vAlign w:val="center"/>
            <w:hideMark/>
          </w:tcPr>
          <w:p w14:paraId="6AE5D256" w14:textId="5FF8FAE0" w:rsidR="00655AEF" w:rsidRPr="009E6D02" w:rsidRDefault="009E6D02" w:rsidP="00F9161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z w:val="20"/>
                <w:szCs w:val="20"/>
              </w:rPr>
            </w:pPr>
            <w:r w:rsidRPr="009E6D02">
              <w:rPr>
                <w:rFonts w:ascii="Calibri" w:eastAsia="Times New Roman" w:hAnsi="Calibri" w:cs="Calibri"/>
                <w:color w:val="auto"/>
                <w:sz w:val="20"/>
                <w:szCs w:val="20"/>
              </w:rPr>
              <w:t>9</w:t>
            </w:r>
            <w:r w:rsidR="00984FBB">
              <w:rPr>
                <w:rFonts w:ascii="Calibri" w:eastAsia="Times New Roman" w:hAnsi="Calibri" w:cs="Calibri"/>
                <w:color w:val="auto"/>
                <w:sz w:val="20"/>
                <w:szCs w:val="20"/>
              </w:rPr>
              <w:t>82</w:t>
            </w:r>
          </w:p>
        </w:tc>
      </w:tr>
    </w:tbl>
    <w:p w14:paraId="19C68C10" w14:textId="7E978DD8" w:rsidR="00CE0EBA" w:rsidRDefault="00CE0EBA" w:rsidP="00CE0EBA">
      <w:pPr>
        <w:pStyle w:val="Caption"/>
        <w:jc w:val="center"/>
        <w:rPr>
          <w:i w:val="0"/>
          <w:iCs w:val="0"/>
          <w:color w:val="auto"/>
        </w:rPr>
      </w:pPr>
      <w:r w:rsidRPr="00CE0EBA">
        <w:rPr>
          <w:b/>
          <w:bCs/>
          <w:i w:val="0"/>
          <w:iCs w:val="0"/>
          <w:color w:val="auto"/>
        </w:rPr>
        <w:t xml:space="preserve">Table </w:t>
      </w:r>
      <w:r w:rsidRPr="00CE0EBA">
        <w:rPr>
          <w:b/>
          <w:bCs/>
          <w:i w:val="0"/>
          <w:iCs w:val="0"/>
          <w:color w:val="auto"/>
        </w:rPr>
        <w:fldChar w:fldCharType="begin"/>
      </w:r>
      <w:r w:rsidRPr="00CE0EBA">
        <w:rPr>
          <w:b/>
          <w:bCs/>
          <w:i w:val="0"/>
          <w:iCs w:val="0"/>
          <w:color w:val="auto"/>
        </w:rPr>
        <w:instrText xml:space="preserve"> SEQ Table \* ARABIC </w:instrText>
      </w:r>
      <w:r w:rsidRPr="00CE0EBA">
        <w:rPr>
          <w:b/>
          <w:bCs/>
          <w:i w:val="0"/>
          <w:iCs w:val="0"/>
          <w:color w:val="auto"/>
        </w:rPr>
        <w:fldChar w:fldCharType="separate"/>
      </w:r>
      <w:r w:rsidRPr="00CE0EBA">
        <w:rPr>
          <w:b/>
          <w:bCs/>
          <w:i w:val="0"/>
          <w:iCs w:val="0"/>
          <w:noProof/>
          <w:color w:val="auto"/>
        </w:rPr>
        <w:t>2</w:t>
      </w:r>
      <w:r w:rsidRPr="00CE0EBA">
        <w:rPr>
          <w:b/>
          <w:bCs/>
          <w:i w:val="0"/>
          <w:iCs w:val="0"/>
          <w:color w:val="auto"/>
        </w:rPr>
        <w:fldChar w:fldCharType="end"/>
      </w:r>
      <w:r w:rsidRPr="00CE0EBA">
        <w:rPr>
          <w:b/>
          <w:bCs/>
          <w:i w:val="0"/>
          <w:iCs w:val="0"/>
          <w:color w:val="auto"/>
        </w:rPr>
        <w:t>.</w:t>
      </w:r>
      <w:r w:rsidRPr="00CE0EBA">
        <w:rPr>
          <w:i w:val="0"/>
          <w:iCs w:val="0"/>
          <w:color w:val="auto"/>
        </w:rPr>
        <w:t xml:space="preserve"> Watersheds with the highest Stream Length</w:t>
      </w:r>
    </w:p>
    <w:p w14:paraId="0AF72A34" w14:textId="48652192" w:rsidR="0066594A" w:rsidRDefault="006419CA" w:rsidP="00883B45">
      <w:r>
        <w:t>The most significant streams in Gauley and Lower New Watershed</w:t>
      </w:r>
      <w:r w:rsidR="00883B45">
        <w:t xml:space="preserve">s are Sewell Creek, </w:t>
      </w:r>
      <w:r w:rsidR="009814C8" w:rsidRPr="009814C8">
        <w:t xml:space="preserve">Cherry River, </w:t>
      </w:r>
      <w:r w:rsidR="00883B45">
        <w:t>and</w:t>
      </w:r>
      <w:r w:rsidR="009814C8" w:rsidRPr="009814C8">
        <w:t xml:space="preserve"> Gauley River (including Gauley R</w:t>
      </w:r>
      <w:r w:rsidR="00883B45">
        <w:t>iver and Gauley River (Upper)).</w:t>
      </w:r>
    </w:p>
    <w:p w14:paraId="6E57AA65" w14:textId="5AC547D1" w:rsidR="0066594A" w:rsidRDefault="0066594A" w:rsidP="00B05E29"/>
    <w:p w14:paraId="5D610BAB" w14:textId="3EF30B05" w:rsidR="00026881" w:rsidRDefault="00026881" w:rsidP="00B05E29"/>
    <w:p w14:paraId="0CFAA4F0" w14:textId="69A06C10" w:rsidR="00026881" w:rsidRDefault="00026881" w:rsidP="00B05E29"/>
    <w:p w14:paraId="4A5E98E0" w14:textId="77777777" w:rsidR="00026881" w:rsidRDefault="00026881" w:rsidP="00B05E29"/>
    <w:p w14:paraId="6671B57A" w14:textId="52213CDA" w:rsidR="00BF0F19" w:rsidRPr="00386308" w:rsidRDefault="00BF0F19" w:rsidP="00386308">
      <w:pPr>
        <w:pStyle w:val="ListParagraph"/>
        <w:numPr>
          <w:ilvl w:val="0"/>
          <w:numId w:val="2"/>
        </w:numPr>
        <w:ind w:left="180" w:hanging="180"/>
        <w:rPr>
          <w:b/>
          <w:bCs/>
          <w:color w:val="2F5496" w:themeColor="accent1" w:themeShade="BF"/>
          <w:sz w:val="24"/>
          <w:szCs w:val="24"/>
        </w:rPr>
      </w:pPr>
      <w:r w:rsidRPr="00386308">
        <w:rPr>
          <w:b/>
          <w:bCs/>
          <w:color w:val="2F5496" w:themeColor="accent1" w:themeShade="BF"/>
          <w:sz w:val="24"/>
          <w:szCs w:val="24"/>
        </w:rPr>
        <w:lastRenderedPageBreak/>
        <w:t>Building Exposure</w:t>
      </w:r>
    </w:p>
    <w:p w14:paraId="51208A14" w14:textId="6970BABE" w:rsidR="0066594A" w:rsidRDefault="00D05BAB" w:rsidP="001B0DD8">
      <w:r>
        <w:t xml:space="preserve">The </w:t>
      </w:r>
      <w:r w:rsidR="005B770E" w:rsidRPr="005B770E">
        <w:t xml:space="preserve">Lower Kanawha </w:t>
      </w:r>
      <w:r>
        <w:t>W</w:t>
      </w:r>
      <w:r w:rsidR="005B770E" w:rsidRPr="005B770E">
        <w:t>atershed has the highest number of buildings, with a total count of 9130, of which 8311 (91%</w:t>
      </w:r>
      <w:r w:rsidR="00D1074E">
        <w:t>) are classified as residential (Figure</w:t>
      </w:r>
      <w:r w:rsidR="00A430C0">
        <w:t xml:space="preserve"> </w:t>
      </w:r>
      <w:r w:rsidR="001B0DD8">
        <w:t>2</w:t>
      </w:r>
      <w:r w:rsidR="00D1074E">
        <w:t>).</w:t>
      </w:r>
      <w:r w:rsidR="005B770E" w:rsidRPr="005B770E">
        <w:t xml:space="preserve"> </w:t>
      </w:r>
      <w:r w:rsidR="00C4152F" w:rsidRPr="00C4152F">
        <w:t xml:space="preserve">As a result, this watershed boasts the highest building value in </w:t>
      </w:r>
      <w:r w:rsidR="00C4152F">
        <w:t>Residential and non-Residential buildings, amounting to $588,381,996 and $742,070,411, respec</w:t>
      </w:r>
      <w:r w:rsidR="00C4152F" w:rsidRPr="00C4152F">
        <w:t>tively.</w:t>
      </w:r>
      <w:r w:rsidR="00C4152F">
        <w:t xml:space="preserve"> </w:t>
      </w:r>
      <w:r w:rsidR="0033746E">
        <w:t>Table 3 shows</w:t>
      </w:r>
      <w:r w:rsidR="005B770E" w:rsidRPr="005B770E">
        <w:t xml:space="preserve"> </w:t>
      </w:r>
      <w:r w:rsidR="0033746E">
        <w:t xml:space="preserve">that </w:t>
      </w:r>
      <w:r w:rsidR="002100B1">
        <w:t xml:space="preserve">the </w:t>
      </w:r>
      <w:r w:rsidR="005B770E" w:rsidRPr="005B770E">
        <w:t xml:space="preserve">Upper Guyandotte and Coal watersheds are ranked second and third in the total number of buildings. However, when considering the percentage of residential buildings to the total number of buildings, </w:t>
      </w:r>
      <w:r w:rsidR="002100B1">
        <w:t xml:space="preserve">the </w:t>
      </w:r>
      <w:r w:rsidR="005B770E" w:rsidRPr="005B770E">
        <w:t>Raccoon-</w:t>
      </w:r>
      <w:proofErr w:type="spellStart"/>
      <w:r w:rsidR="005B770E" w:rsidRPr="005B770E">
        <w:t>Symmes</w:t>
      </w:r>
      <w:proofErr w:type="spellEnd"/>
      <w:r w:rsidR="005B770E" w:rsidRPr="005B770E">
        <w:t xml:space="preserve"> and Upper Kanawha </w:t>
      </w:r>
      <w:r w:rsidR="002100B1">
        <w:t xml:space="preserve">watersheds </w:t>
      </w:r>
      <w:r w:rsidR="005B770E" w:rsidRPr="005B770E">
        <w:t>take the lead, with 93% of their buildings being residential, placing them in the first and second positions, respectively.</w:t>
      </w:r>
    </w:p>
    <w:tbl>
      <w:tblPr>
        <w:tblStyle w:val="GridTable4-Accent1"/>
        <w:tblW w:w="7615" w:type="dxa"/>
        <w:tblInd w:w="985" w:type="dxa"/>
        <w:tblLook w:val="04A0" w:firstRow="1" w:lastRow="0" w:firstColumn="1" w:lastColumn="0" w:noHBand="0" w:noVBand="1"/>
      </w:tblPr>
      <w:tblGrid>
        <w:gridCol w:w="2096"/>
        <w:gridCol w:w="1132"/>
        <w:gridCol w:w="1343"/>
        <w:gridCol w:w="1140"/>
        <w:gridCol w:w="1904"/>
      </w:tblGrid>
      <w:tr w:rsidR="006F2679" w:rsidRPr="006F2679" w14:paraId="20E13CE3" w14:textId="6418E5BA" w:rsidTr="005F3F26">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095" w:type="dxa"/>
            <w:tcBorders>
              <w:right w:val="single" w:sz="4" w:space="0" w:color="FFFFFF" w:themeColor="background1"/>
            </w:tcBorders>
            <w:shd w:val="clear" w:color="auto" w:fill="2F5496"/>
            <w:vAlign w:val="center"/>
            <w:hideMark/>
          </w:tcPr>
          <w:p w14:paraId="02A8CD86" w14:textId="7F7E1E29" w:rsidR="006F2679" w:rsidRPr="006F2679" w:rsidRDefault="006F2679" w:rsidP="005F3F26">
            <w:pPr>
              <w:jc w:val="center"/>
              <w:rPr>
                <w:rFonts w:eastAsia="Times New Roman" w:cstheme="minorHAnsi"/>
                <w:sz w:val="20"/>
                <w:szCs w:val="20"/>
              </w:rPr>
            </w:pPr>
            <w:r w:rsidRPr="006F2679">
              <w:rPr>
                <w:rFonts w:eastAsia="Times New Roman" w:cstheme="minorHAnsi"/>
                <w:sz w:val="20"/>
                <w:szCs w:val="20"/>
              </w:rPr>
              <w:t>Watershed</w:t>
            </w:r>
          </w:p>
        </w:tc>
        <w:tc>
          <w:tcPr>
            <w:tcW w:w="1145" w:type="dxa"/>
            <w:tcBorders>
              <w:left w:val="single" w:sz="4" w:space="0" w:color="FFFFFF" w:themeColor="background1"/>
              <w:right w:val="single" w:sz="4" w:space="0" w:color="FFFFFF" w:themeColor="background1"/>
            </w:tcBorders>
            <w:shd w:val="clear" w:color="auto" w:fill="2F5496"/>
            <w:vAlign w:val="center"/>
          </w:tcPr>
          <w:p w14:paraId="2A31EBE9" w14:textId="0695C0CE" w:rsidR="006F2679" w:rsidRPr="006F2679" w:rsidRDefault="006F2679" w:rsidP="005F3F2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sz w:val="20"/>
                <w:szCs w:val="20"/>
              </w:rPr>
              <w:t>Building Count</w:t>
            </w:r>
          </w:p>
        </w:tc>
        <w:tc>
          <w:tcPr>
            <w:tcW w:w="1350" w:type="dxa"/>
            <w:tcBorders>
              <w:left w:val="single" w:sz="4" w:space="0" w:color="FFFFFF" w:themeColor="background1"/>
              <w:right w:val="single" w:sz="4" w:space="0" w:color="FFFFFF" w:themeColor="background1"/>
            </w:tcBorders>
            <w:shd w:val="clear" w:color="auto" w:fill="2F5496"/>
            <w:vAlign w:val="center"/>
          </w:tcPr>
          <w:p w14:paraId="58340D3B" w14:textId="0CF327A1" w:rsidR="006F2679" w:rsidRPr="006F2679" w:rsidRDefault="006F2679" w:rsidP="0080585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sz w:val="20"/>
                <w:szCs w:val="20"/>
              </w:rPr>
              <w:t>Density (</w:t>
            </w:r>
            <w:proofErr w:type="spellStart"/>
            <w:r w:rsidRPr="006F2679">
              <w:rPr>
                <w:rFonts w:cstheme="minorHAnsi"/>
                <w:sz w:val="20"/>
                <w:szCs w:val="20"/>
              </w:rPr>
              <w:t>bldgs</w:t>
            </w:r>
            <w:proofErr w:type="spellEnd"/>
            <w:r w:rsidR="0080585D">
              <w:rPr>
                <w:rFonts w:cstheme="minorHAnsi"/>
                <w:sz w:val="20"/>
                <w:szCs w:val="20"/>
              </w:rPr>
              <w:t>/</w:t>
            </w:r>
            <w:r w:rsidRPr="006F2679">
              <w:rPr>
                <w:rFonts w:cstheme="minorHAnsi"/>
                <w:sz w:val="20"/>
                <w:szCs w:val="20"/>
              </w:rPr>
              <w:t>acre)</w:t>
            </w:r>
          </w:p>
        </w:tc>
        <w:tc>
          <w:tcPr>
            <w:tcW w:w="1080" w:type="dxa"/>
            <w:tcBorders>
              <w:left w:val="single" w:sz="4" w:space="0" w:color="FFFFFF" w:themeColor="background1"/>
              <w:right w:val="single" w:sz="4" w:space="0" w:color="FFFFFF" w:themeColor="background1"/>
            </w:tcBorders>
            <w:shd w:val="clear" w:color="auto" w:fill="2F5496"/>
            <w:vAlign w:val="center"/>
          </w:tcPr>
          <w:p w14:paraId="5FEC6420" w14:textId="6B543F96" w:rsidR="006F2679" w:rsidRPr="006F2679" w:rsidRDefault="006F2679" w:rsidP="005F3F2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sz w:val="20"/>
                <w:szCs w:val="20"/>
              </w:rPr>
              <w:t>Residential</w:t>
            </w:r>
          </w:p>
        </w:tc>
        <w:tc>
          <w:tcPr>
            <w:tcW w:w="1945" w:type="dxa"/>
            <w:tcBorders>
              <w:left w:val="single" w:sz="4" w:space="0" w:color="FFFFFF" w:themeColor="background1"/>
            </w:tcBorders>
            <w:shd w:val="clear" w:color="auto" w:fill="2F5496"/>
            <w:vAlign w:val="center"/>
          </w:tcPr>
          <w:p w14:paraId="0ACA1BB6" w14:textId="5C112F4A" w:rsidR="006F2679" w:rsidRPr="006F2679" w:rsidRDefault="006F2679" w:rsidP="0080585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Pr>
                <w:rFonts w:cstheme="minorHAnsi"/>
                <w:sz w:val="20"/>
                <w:szCs w:val="20"/>
              </w:rPr>
              <w:t>Percentage of</w:t>
            </w:r>
            <w:r w:rsidRPr="006F2679">
              <w:rPr>
                <w:rFonts w:cstheme="minorHAnsi"/>
                <w:sz w:val="20"/>
                <w:szCs w:val="20"/>
              </w:rPr>
              <w:t xml:space="preserve"> Residential</w:t>
            </w:r>
            <w:r>
              <w:rPr>
                <w:rFonts w:cstheme="minorHAnsi"/>
                <w:sz w:val="20"/>
                <w:szCs w:val="20"/>
              </w:rPr>
              <w:t xml:space="preserve"> to the </w:t>
            </w:r>
            <w:r w:rsidR="0080585D">
              <w:rPr>
                <w:rFonts w:cstheme="minorHAnsi"/>
                <w:sz w:val="20"/>
                <w:szCs w:val="20"/>
              </w:rPr>
              <w:t>T</w:t>
            </w:r>
            <w:r>
              <w:rPr>
                <w:rFonts w:cstheme="minorHAnsi"/>
                <w:sz w:val="20"/>
                <w:szCs w:val="20"/>
              </w:rPr>
              <w:t>otal Building</w:t>
            </w:r>
          </w:p>
        </w:tc>
      </w:tr>
      <w:tr w:rsidR="006F2679" w:rsidRPr="006F2679" w14:paraId="4AF5C084" w14:textId="31FABC6B" w:rsidTr="008474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5" w:type="dxa"/>
            <w:noWrap/>
            <w:vAlign w:val="center"/>
            <w:hideMark/>
          </w:tcPr>
          <w:p w14:paraId="7BE99493" w14:textId="77777777" w:rsidR="006F2679" w:rsidRPr="006F2679" w:rsidRDefault="006F2679" w:rsidP="005F3F26">
            <w:pPr>
              <w:jc w:val="center"/>
              <w:rPr>
                <w:rFonts w:eastAsia="Times New Roman" w:cstheme="minorHAnsi"/>
                <w:b w:val="0"/>
                <w:bCs w:val="0"/>
                <w:color w:val="203764"/>
                <w:sz w:val="20"/>
                <w:szCs w:val="20"/>
              </w:rPr>
            </w:pPr>
            <w:r w:rsidRPr="006F2679">
              <w:rPr>
                <w:rFonts w:eastAsia="Times New Roman" w:cstheme="minorHAnsi"/>
                <w:b w:val="0"/>
                <w:bCs w:val="0"/>
                <w:color w:val="203764"/>
                <w:sz w:val="20"/>
                <w:szCs w:val="20"/>
              </w:rPr>
              <w:t>Lower Kanawha</w:t>
            </w:r>
          </w:p>
        </w:tc>
        <w:tc>
          <w:tcPr>
            <w:tcW w:w="1145" w:type="dxa"/>
            <w:shd w:val="clear" w:color="auto" w:fill="FFF2CC" w:themeFill="accent4" w:themeFillTint="33"/>
            <w:vAlign w:val="center"/>
          </w:tcPr>
          <w:p w14:paraId="7B1B1B73" w14:textId="62551CE4" w:rsidR="006F2679" w:rsidRPr="006F2679" w:rsidRDefault="006F2679" w:rsidP="005F3F2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9,130</w:t>
            </w:r>
          </w:p>
        </w:tc>
        <w:tc>
          <w:tcPr>
            <w:tcW w:w="1350" w:type="dxa"/>
            <w:shd w:val="clear" w:color="auto" w:fill="FFF2CC" w:themeFill="accent4" w:themeFillTint="33"/>
            <w:vAlign w:val="center"/>
          </w:tcPr>
          <w:p w14:paraId="59F90F06" w14:textId="162B00BF" w:rsidR="006F2679" w:rsidRPr="006F2679" w:rsidRDefault="006F2679" w:rsidP="005F3F2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9.9</w:t>
            </w:r>
          </w:p>
        </w:tc>
        <w:tc>
          <w:tcPr>
            <w:tcW w:w="1080" w:type="dxa"/>
            <w:shd w:val="clear" w:color="auto" w:fill="FFF2CC" w:themeFill="accent4" w:themeFillTint="33"/>
            <w:vAlign w:val="center"/>
          </w:tcPr>
          <w:p w14:paraId="42C249F2" w14:textId="678ADCAD" w:rsidR="006F2679" w:rsidRPr="006F2679" w:rsidRDefault="006F2679" w:rsidP="005F3F2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8,311</w:t>
            </w:r>
          </w:p>
        </w:tc>
        <w:tc>
          <w:tcPr>
            <w:tcW w:w="1945" w:type="dxa"/>
            <w:shd w:val="clear" w:color="auto" w:fill="FFF2CC" w:themeFill="accent4" w:themeFillTint="33"/>
            <w:vAlign w:val="center"/>
          </w:tcPr>
          <w:p w14:paraId="329BB0EA" w14:textId="453ED601" w:rsidR="006F2679" w:rsidRPr="006F2679" w:rsidRDefault="006F2679" w:rsidP="005F3F2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91%</w:t>
            </w:r>
          </w:p>
        </w:tc>
      </w:tr>
      <w:tr w:rsidR="004A76BE" w:rsidRPr="006F2679" w14:paraId="571580A0" w14:textId="16A4C300" w:rsidTr="008474C9">
        <w:trPr>
          <w:trHeight w:val="300"/>
        </w:trPr>
        <w:tc>
          <w:tcPr>
            <w:cnfStyle w:val="001000000000" w:firstRow="0" w:lastRow="0" w:firstColumn="1" w:lastColumn="0" w:oddVBand="0" w:evenVBand="0" w:oddHBand="0" w:evenHBand="0" w:firstRowFirstColumn="0" w:firstRowLastColumn="0" w:lastRowFirstColumn="0" w:lastRowLastColumn="0"/>
            <w:tcW w:w="2095" w:type="dxa"/>
            <w:noWrap/>
            <w:hideMark/>
          </w:tcPr>
          <w:p w14:paraId="50E75E32" w14:textId="77777777" w:rsidR="006F2679" w:rsidRPr="006F2679" w:rsidRDefault="006F2679" w:rsidP="006F2679">
            <w:pPr>
              <w:jc w:val="center"/>
              <w:rPr>
                <w:rFonts w:eastAsia="Times New Roman" w:cstheme="minorHAnsi"/>
                <w:b w:val="0"/>
                <w:bCs w:val="0"/>
                <w:color w:val="203764"/>
                <w:sz w:val="20"/>
                <w:szCs w:val="20"/>
              </w:rPr>
            </w:pPr>
            <w:r w:rsidRPr="006F2679">
              <w:rPr>
                <w:rFonts w:eastAsia="Times New Roman" w:cstheme="minorHAnsi"/>
                <w:b w:val="0"/>
                <w:bCs w:val="0"/>
                <w:color w:val="203764"/>
                <w:sz w:val="20"/>
                <w:szCs w:val="20"/>
              </w:rPr>
              <w:t>Upper Guyandotte</w:t>
            </w:r>
          </w:p>
        </w:tc>
        <w:tc>
          <w:tcPr>
            <w:tcW w:w="1145" w:type="dxa"/>
            <w:shd w:val="clear" w:color="auto" w:fill="FFF2CC" w:themeFill="accent4" w:themeFillTint="33"/>
          </w:tcPr>
          <w:p w14:paraId="49D99A49" w14:textId="2EFF9102"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7,745</w:t>
            </w:r>
          </w:p>
        </w:tc>
        <w:tc>
          <w:tcPr>
            <w:tcW w:w="1350" w:type="dxa"/>
          </w:tcPr>
          <w:p w14:paraId="3C00C0B4" w14:textId="42A7E536"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8.2</w:t>
            </w:r>
          </w:p>
        </w:tc>
        <w:tc>
          <w:tcPr>
            <w:tcW w:w="1080" w:type="dxa"/>
            <w:shd w:val="clear" w:color="auto" w:fill="FFF2CC" w:themeFill="accent4" w:themeFillTint="33"/>
          </w:tcPr>
          <w:p w14:paraId="03ED9F99" w14:textId="218BE9AB"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6,915</w:t>
            </w:r>
          </w:p>
        </w:tc>
        <w:tc>
          <w:tcPr>
            <w:tcW w:w="1945" w:type="dxa"/>
          </w:tcPr>
          <w:p w14:paraId="4E105AC4" w14:textId="2F6FB631"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89%</w:t>
            </w:r>
          </w:p>
        </w:tc>
      </w:tr>
      <w:tr w:rsidR="006F2679" w:rsidRPr="006F2679" w14:paraId="2F1AB2D5" w14:textId="6BAD327E" w:rsidTr="008474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5" w:type="dxa"/>
            <w:noWrap/>
            <w:hideMark/>
          </w:tcPr>
          <w:p w14:paraId="6EF45982" w14:textId="77777777" w:rsidR="006F2679" w:rsidRPr="006F2679" w:rsidRDefault="006F2679" w:rsidP="006F2679">
            <w:pPr>
              <w:jc w:val="center"/>
              <w:rPr>
                <w:rFonts w:eastAsia="Times New Roman" w:cstheme="minorHAnsi"/>
                <w:b w:val="0"/>
                <w:bCs w:val="0"/>
                <w:color w:val="203764"/>
                <w:sz w:val="20"/>
                <w:szCs w:val="20"/>
              </w:rPr>
            </w:pPr>
            <w:r w:rsidRPr="006F2679">
              <w:rPr>
                <w:rFonts w:eastAsia="Times New Roman" w:cstheme="minorHAnsi"/>
                <w:b w:val="0"/>
                <w:bCs w:val="0"/>
                <w:color w:val="203764"/>
                <w:sz w:val="20"/>
                <w:szCs w:val="20"/>
              </w:rPr>
              <w:t>Coal</w:t>
            </w:r>
          </w:p>
        </w:tc>
        <w:tc>
          <w:tcPr>
            <w:tcW w:w="1145" w:type="dxa"/>
            <w:shd w:val="clear" w:color="auto" w:fill="FFF2CC" w:themeFill="accent4" w:themeFillTint="33"/>
          </w:tcPr>
          <w:p w14:paraId="6E76EA8E" w14:textId="21DC1046"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7,280</w:t>
            </w:r>
          </w:p>
        </w:tc>
        <w:tc>
          <w:tcPr>
            <w:tcW w:w="1350" w:type="dxa"/>
          </w:tcPr>
          <w:p w14:paraId="6311413F" w14:textId="140E3AC1"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8.2</w:t>
            </w:r>
          </w:p>
        </w:tc>
        <w:tc>
          <w:tcPr>
            <w:tcW w:w="1080" w:type="dxa"/>
            <w:shd w:val="clear" w:color="auto" w:fill="FFF2CC" w:themeFill="accent4" w:themeFillTint="33"/>
          </w:tcPr>
          <w:p w14:paraId="2800EAE0" w14:textId="62688989"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6,731</w:t>
            </w:r>
          </w:p>
        </w:tc>
        <w:tc>
          <w:tcPr>
            <w:tcW w:w="1945" w:type="dxa"/>
            <w:shd w:val="clear" w:color="auto" w:fill="FFF2CC" w:themeFill="accent4" w:themeFillTint="33"/>
          </w:tcPr>
          <w:p w14:paraId="463F56CF" w14:textId="2B920E46"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92%</w:t>
            </w:r>
          </w:p>
        </w:tc>
      </w:tr>
      <w:tr w:rsidR="006F2679" w:rsidRPr="006F2679" w14:paraId="1F30066E" w14:textId="1D3A4FE7" w:rsidTr="006F2679">
        <w:trPr>
          <w:trHeight w:val="300"/>
        </w:trPr>
        <w:tc>
          <w:tcPr>
            <w:cnfStyle w:val="001000000000" w:firstRow="0" w:lastRow="0" w:firstColumn="1" w:lastColumn="0" w:oddVBand="0" w:evenVBand="0" w:oddHBand="0" w:evenHBand="0" w:firstRowFirstColumn="0" w:firstRowLastColumn="0" w:lastRowFirstColumn="0" w:lastRowLastColumn="0"/>
            <w:tcW w:w="2095" w:type="dxa"/>
            <w:noWrap/>
            <w:hideMark/>
          </w:tcPr>
          <w:p w14:paraId="2E4B70B8" w14:textId="77777777" w:rsidR="006F2679" w:rsidRPr="006F2679" w:rsidRDefault="006F2679" w:rsidP="006F2679">
            <w:pPr>
              <w:jc w:val="center"/>
              <w:rPr>
                <w:rFonts w:eastAsia="Times New Roman" w:cstheme="minorHAnsi"/>
                <w:b w:val="0"/>
                <w:bCs w:val="0"/>
                <w:color w:val="203764"/>
                <w:sz w:val="20"/>
                <w:szCs w:val="20"/>
              </w:rPr>
            </w:pPr>
            <w:r w:rsidRPr="006F2679">
              <w:rPr>
                <w:rFonts w:eastAsia="Times New Roman" w:cstheme="minorHAnsi"/>
                <w:b w:val="0"/>
                <w:bCs w:val="0"/>
                <w:color w:val="203764"/>
                <w:sz w:val="20"/>
                <w:szCs w:val="20"/>
              </w:rPr>
              <w:t>Tug</w:t>
            </w:r>
          </w:p>
        </w:tc>
        <w:tc>
          <w:tcPr>
            <w:tcW w:w="1145" w:type="dxa"/>
          </w:tcPr>
          <w:p w14:paraId="6117FFEF" w14:textId="16C5939A"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7,204</w:t>
            </w:r>
          </w:p>
        </w:tc>
        <w:tc>
          <w:tcPr>
            <w:tcW w:w="1350" w:type="dxa"/>
          </w:tcPr>
          <w:p w14:paraId="70C2600E" w14:textId="4FE98154"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7.7</w:t>
            </w:r>
          </w:p>
        </w:tc>
        <w:tc>
          <w:tcPr>
            <w:tcW w:w="1080" w:type="dxa"/>
          </w:tcPr>
          <w:p w14:paraId="6BEBF4B7" w14:textId="314542CE"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6,513</w:t>
            </w:r>
          </w:p>
        </w:tc>
        <w:tc>
          <w:tcPr>
            <w:tcW w:w="1945" w:type="dxa"/>
          </w:tcPr>
          <w:p w14:paraId="56180598" w14:textId="1C65E3E7"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90%</w:t>
            </w:r>
          </w:p>
        </w:tc>
      </w:tr>
      <w:tr w:rsidR="006F2679" w:rsidRPr="006F2679" w14:paraId="39A86BC0" w14:textId="0BE4E804" w:rsidTr="008474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5" w:type="dxa"/>
            <w:noWrap/>
            <w:hideMark/>
          </w:tcPr>
          <w:p w14:paraId="10737DA9" w14:textId="77777777" w:rsidR="006F2679" w:rsidRPr="006F2679" w:rsidRDefault="006F2679" w:rsidP="006F2679">
            <w:pPr>
              <w:jc w:val="center"/>
              <w:rPr>
                <w:rFonts w:eastAsia="Times New Roman" w:cstheme="minorHAnsi"/>
                <w:b w:val="0"/>
                <w:bCs w:val="0"/>
                <w:color w:val="203764"/>
                <w:sz w:val="20"/>
                <w:szCs w:val="20"/>
              </w:rPr>
            </w:pPr>
            <w:r w:rsidRPr="006F2679">
              <w:rPr>
                <w:rFonts w:eastAsia="Times New Roman" w:cstheme="minorHAnsi"/>
                <w:b w:val="0"/>
                <w:bCs w:val="0"/>
                <w:color w:val="203764"/>
                <w:sz w:val="20"/>
                <w:szCs w:val="20"/>
              </w:rPr>
              <w:t>Upper Ohio-Wheeling</w:t>
            </w:r>
          </w:p>
        </w:tc>
        <w:tc>
          <w:tcPr>
            <w:tcW w:w="1145" w:type="dxa"/>
          </w:tcPr>
          <w:p w14:paraId="67A5A5C9" w14:textId="05B5B10F"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6,248</w:t>
            </w:r>
          </w:p>
        </w:tc>
        <w:tc>
          <w:tcPr>
            <w:tcW w:w="1350" w:type="dxa"/>
            <w:shd w:val="clear" w:color="auto" w:fill="FFF2CC" w:themeFill="accent4" w:themeFillTint="33"/>
          </w:tcPr>
          <w:p w14:paraId="58D60309" w14:textId="34AA6B4A"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15DF3">
              <w:rPr>
                <w:rFonts w:eastAsia="Times New Roman" w:cstheme="minorHAnsi"/>
                <w:sz w:val="20"/>
                <w:szCs w:val="20"/>
              </w:rPr>
              <w:t>11.1</w:t>
            </w:r>
          </w:p>
        </w:tc>
        <w:tc>
          <w:tcPr>
            <w:tcW w:w="1080" w:type="dxa"/>
          </w:tcPr>
          <w:p w14:paraId="253F4324" w14:textId="56523398"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5,234</w:t>
            </w:r>
          </w:p>
        </w:tc>
        <w:tc>
          <w:tcPr>
            <w:tcW w:w="1945" w:type="dxa"/>
          </w:tcPr>
          <w:p w14:paraId="06FF91E0" w14:textId="0141D2A2"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84%</w:t>
            </w:r>
          </w:p>
        </w:tc>
      </w:tr>
      <w:tr w:rsidR="0080585D" w:rsidRPr="006F2679" w14:paraId="16EC45FB" w14:textId="553A369D" w:rsidTr="008474C9">
        <w:trPr>
          <w:trHeight w:val="60"/>
        </w:trPr>
        <w:tc>
          <w:tcPr>
            <w:cnfStyle w:val="001000000000" w:firstRow="0" w:lastRow="0" w:firstColumn="1" w:lastColumn="0" w:oddVBand="0" w:evenVBand="0" w:oddHBand="0" w:evenHBand="0" w:firstRowFirstColumn="0" w:firstRowLastColumn="0" w:lastRowFirstColumn="0" w:lastRowLastColumn="0"/>
            <w:tcW w:w="2095" w:type="dxa"/>
            <w:noWrap/>
            <w:hideMark/>
          </w:tcPr>
          <w:p w14:paraId="0D3A76CD" w14:textId="77777777" w:rsidR="006F2679" w:rsidRPr="006F2679" w:rsidRDefault="006F2679" w:rsidP="006F2679">
            <w:pPr>
              <w:jc w:val="center"/>
              <w:rPr>
                <w:rFonts w:eastAsia="Times New Roman" w:cstheme="minorHAnsi"/>
                <w:b w:val="0"/>
                <w:bCs w:val="0"/>
                <w:color w:val="203764"/>
                <w:sz w:val="20"/>
                <w:szCs w:val="20"/>
              </w:rPr>
            </w:pPr>
            <w:r w:rsidRPr="006F2679">
              <w:rPr>
                <w:rFonts w:eastAsia="Times New Roman" w:cstheme="minorHAnsi"/>
                <w:b w:val="0"/>
                <w:bCs w:val="0"/>
                <w:color w:val="203764"/>
                <w:sz w:val="20"/>
                <w:szCs w:val="20"/>
              </w:rPr>
              <w:t>Upper Kanawha</w:t>
            </w:r>
          </w:p>
        </w:tc>
        <w:tc>
          <w:tcPr>
            <w:tcW w:w="1145" w:type="dxa"/>
          </w:tcPr>
          <w:p w14:paraId="354E13DB" w14:textId="48112B57"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5,650</w:t>
            </w:r>
          </w:p>
        </w:tc>
        <w:tc>
          <w:tcPr>
            <w:tcW w:w="1350" w:type="dxa"/>
            <w:shd w:val="clear" w:color="auto" w:fill="FFF2CC" w:themeFill="accent4" w:themeFillTint="33"/>
          </w:tcPr>
          <w:p w14:paraId="0F5C904E" w14:textId="3FFA2F83"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10.8</w:t>
            </w:r>
          </w:p>
        </w:tc>
        <w:tc>
          <w:tcPr>
            <w:tcW w:w="1080" w:type="dxa"/>
          </w:tcPr>
          <w:p w14:paraId="6D18A858" w14:textId="2237A3AD"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5,262</w:t>
            </w:r>
          </w:p>
        </w:tc>
        <w:tc>
          <w:tcPr>
            <w:tcW w:w="1945" w:type="dxa"/>
            <w:shd w:val="clear" w:color="auto" w:fill="FFF2CC" w:themeFill="accent4" w:themeFillTint="33"/>
          </w:tcPr>
          <w:p w14:paraId="65FF3805" w14:textId="46D58016" w:rsidR="006F2679" w:rsidRPr="006F2679" w:rsidRDefault="006F2679" w:rsidP="006F267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93%</w:t>
            </w:r>
          </w:p>
        </w:tc>
      </w:tr>
      <w:tr w:rsidR="006F2679" w:rsidRPr="006F2679" w14:paraId="5EAC1776" w14:textId="079F9773" w:rsidTr="008474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5" w:type="dxa"/>
            <w:noWrap/>
            <w:hideMark/>
          </w:tcPr>
          <w:p w14:paraId="014567CF" w14:textId="77777777" w:rsidR="006F2679" w:rsidRPr="006F2679" w:rsidRDefault="006F2679" w:rsidP="006F2679">
            <w:pPr>
              <w:jc w:val="center"/>
              <w:rPr>
                <w:rFonts w:eastAsia="Times New Roman" w:cstheme="minorHAnsi"/>
                <w:b w:val="0"/>
                <w:bCs w:val="0"/>
                <w:color w:val="203764"/>
                <w:sz w:val="20"/>
                <w:szCs w:val="20"/>
              </w:rPr>
            </w:pPr>
            <w:r w:rsidRPr="006F2679">
              <w:rPr>
                <w:rFonts w:eastAsia="Times New Roman" w:cstheme="minorHAnsi"/>
                <w:b w:val="0"/>
                <w:bCs w:val="0"/>
                <w:color w:val="203764"/>
                <w:sz w:val="20"/>
                <w:szCs w:val="20"/>
              </w:rPr>
              <w:t>Elk</w:t>
            </w:r>
          </w:p>
        </w:tc>
        <w:tc>
          <w:tcPr>
            <w:tcW w:w="1145" w:type="dxa"/>
          </w:tcPr>
          <w:p w14:paraId="1081C6E2" w14:textId="42B093C6"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5,372</w:t>
            </w:r>
          </w:p>
        </w:tc>
        <w:tc>
          <w:tcPr>
            <w:tcW w:w="1350" w:type="dxa"/>
          </w:tcPr>
          <w:p w14:paraId="5DB7971A" w14:textId="35402C64"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3.5</w:t>
            </w:r>
          </w:p>
        </w:tc>
        <w:tc>
          <w:tcPr>
            <w:tcW w:w="1080" w:type="dxa"/>
          </w:tcPr>
          <w:p w14:paraId="672CB9D4" w14:textId="2C77366B"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4,869</w:t>
            </w:r>
          </w:p>
        </w:tc>
        <w:tc>
          <w:tcPr>
            <w:tcW w:w="1945" w:type="dxa"/>
            <w:shd w:val="clear" w:color="auto" w:fill="FFF2CC" w:themeFill="accent4" w:themeFillTint="33"/>
          </w:tcPr>
          <w:p w14:paraId="39E1DDBF" w14:textId="19BE6E33" w:rsidR="006F2679" w:rsidRPr="006F2679" w:rsidRDefault="006F2679" w:rsidP="006F267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F2679">
              <w:rPr>
                <w:rFonts w:cstheme="minorHAnsi"/>
                <w:color w:val="000000"/>
                <w:sz w:val="20"/>
                <w:szCs w:val="20"/>
              </w:rPr>
              <w:t>91%</w:t>
            </w:r>
          </w:p>
        </w:tc>
      </w:tr>
    </w:tbl>
    <w:p w14:paraId="78DBA7F3" w14:textId="742B7239" w:rsidR="0066594A" w:rsidRPr="008474C9" w:rsidRDefault="00C979D3" w:rsidP="00C979D3">
      <w:pPr>
        <w:pStyle w:val="Caption"/>
        <w:jc w:val="center"/>
        <w:rPr>
          <w:i w:val="0"/>
          <w:iCs w:val="0"/>
          <w:color w:val="auto"/>
        </w:rPr>
      </w:pPr>
      <w:r w:rsidRPr="008474C9">
        <w:rPr>
          <w:b/>
          <w:bCs/>
          <w:i w:val="0"/>
          <w:iCs w:val="0"/>
          <w:color w:val="auto"/>
        </w:rPr>
        <w:t xml:space="preserve">Table </w:t>
      </w:r>
      <w:r w:rsidRPr="008474C9">
        <w:rPr>
          <w:b/>
          <w:bCs/>
          <w:i w:val="0"/>
          <w:iCs w:val="0"/>
          <w:color w:val="auto"/>
        </w:rPr>
        <w:fldChar w:fldCharType="begin"/>
      </w:r>
      <w:r w:rsidRPr="008474C9">
        <w:rPr>
          <w:b/>
          <w:bCs/>
          <w:i w:val="0"/>
          <w:iCs w:val="0"/>
          <w:color w:val="auto"/>
        </w:rPr>
        <w:instrText xml:space="preserve"> SEQ Table \* ARABIC </w:instrText>
      </w:r>
      <w:r w:rsidRPr="008474C9">
        <w:rPr>
          <w:b/>
          <w:bCs/>
          <w:i w:val="0"/>
          <w:iCs w:val="0"/>
          <w:color w:val="auto"/>
        </w:rPr>
        <w:fldChar w:fldCharType="separate"/>
      </w:r>
      <w:r w:rsidR="00CE0EBA">
        <w:rPr>
          <w:b/>
          <w:bCs/>
          <w:i w:val="0"/>
          <w:iCs w:val="0"/>
          <w:noProof/>
          <w:color w:val="auto"/>
        </w:rPr>
        <w:t>3</w:t>
      </w:r>
      <w:r w:rsidRPr="008474C9">
        <w:rPr>
          <w:b/>
          <w:bCs/>
          <w:i w:val="0"/>
          <w:iCs w:val="0"/>
          <w:color w:val="auto"/>
        </w:rPr>
        <w:fldChar w:fldCharType="end"/>
      </w:r>
      <w:r w:rsidRPr="008474C9">
        <w:rPr>
          <w:b/>
          <w:bCs/>
          <w:i w:val="0"/>
          <w:iCs w:val="0"/>
          <w:color w:val="auto"/>
        </w:rPr>
        <w:t>.</w:t>
      </w:r>
      <w:r w:rsidRPr="008474C9">
        <w:rPr>
          <w:i w:val="0"/>
          <w:iCs w:val="0"/>
          <w:color w:val="auto"/>
        </w:rPr>
        <w:t xml:space="preserve"> Watersheds with the highest number of Buildings and Residential Buildings</w:t>
      </w:r>
    </w:p>
    <w:p w14:paraId="63BD9CBC" w14:textId="3F809C3D" w:rsidR="00D273B4" w:rsidRDefault="00D273B4" w:rsidP="00D273B4">
      <w:pPr>
        <w:pStyle w:val="NormalWeb"/>
        <w:shd w:val="clear" w:color="auto" w:fill="FFFFFF" w:themeFill="background1"/>
        <w:spacing w:before="0" w:beforeAutospacing="0" w:after="300" w:afterAutospacing="0" w:line="276" w:lineRule="auto"/>
        <w:rPr>
          <w:rFonts w:asciiTheme="minorHAnsi" w:eastAsiaTheme="minorHAnsi" w:hAnsiTheme="minorHAnsi" w:cstheme="minorBidi"/>
          <w:sz w:val="22"/>
          <w:szCs w:val="22"/>
        </w:rPr>
      </w:pPr>
      <w:r w:rsidRPr="00D273B4">
        <w:rPr>
          <w:rFonts w:asciiTheme="minorHAnsi" w:eastAsiaTheme="minorHAnsi" w:hAnsiTheme="minorHAnsi" w:cstheme="minorBidi"/>
          <w:sz w:val="22"/>
          <w:szCs w:val="22"/>
        </w:rPr>
        <w:t xml:space="preserve">On the other hand, the building density, calculated by dividing the number of buildings by the area of the WV watersheds, is highest in </w:t>
      </w:r>
      <w:r>
        <w:rPr>
          <w:rFonts w:asciiTheme="minorHAnsi" w:eastAsiaTheme="minorHAnsi" w:hAnsiTheme="minorHAnsi" w:cstheme="minorBidi"/>
          <w:sz w:val="22"/>
          <w:szCs w:val="22"/>
        </w:rPr>
        <w:t xml:space="preserve">the </w:t>
      </w:r>
      <w:r w:rsidRPr="00D273B4">
        <w:rPr>
          <w:rFonts w:asciiTheme="minorHAnsi" w:eastAsiaTheme="minorHAnsi" w:hAnsiTheme="minorHAnsi" w:cstheme="minorBidi"/>
          <w:sz w:val="22"/>
          <w:szCs w:val="22"/>
        </w:rPr>
        <w:t xml:space="preserve">Upper Ohio-Wheeling </w:t>
      </w:r>
      <w:r w:rsidR="002100B1">
        <w:rPr>
          <w:rFonts w:asciiTheme="minorHAnsi" w:eastAsiaTheme="minorHAnsi" w:hAnsiTheme="minorHAnsi" w:cstheme="minorBidi"/>
          <w:sz w:val="22"/>
          <w:szCs w:val="22"/>
        </w:rPr>
        <w:t>W</w:t>
      </w:r>
      <w:r w:rsidRPr="00D273B4">
        <w:rPr>
          <w:rFonts w:asciiTheme="minorHAnsi" w:eastAsiaTheme="minorHAnsi" w:hAnsiTheme="minorHAnsi" w:cstheme="minorBidi"/>
          <w:sz w:val="22"/>
          <w:szCs w:val="22"/>
        </w:rPr>
        <w:t xml:space="preserve">atershed, followed by </w:t>
      </w:r>
      <w:r w:rsidR="002100B1">
        <w:rPr>
          <w:rFonts w:asciiTheme="minorHAnsi" w:eastAsiaTheme="minorHAnsi" w:hAnsiTheme="minorHAnsi" w:cstheme="minorBidi"/>
          <w:sz w:val="22"/>
          <w:szCs w:val="22"/>
        </w:rPr>
        <w:t xml:space="preserve">the </w:t>
      </w:r>
      <w:r w:rsidRPr="00D273B4">
        <w:rPr>
          <w:rFonts w:asciiTheme="minorHAnsi" w:eastAsiaTheme="minorHAnsi" w:hAnsiTheme="minorHAnsi" w:cstheme="minorBidi"/>
          <w:sz w:val="22"/>
          <w:szCs w:val="22"/>
        </w:rPr>
        <w:t>Upper Kanawha and Lower Kanawha. These results were somewhat predictable, considering that the densely populated city of Charleston is located in these areas.</w:t>
      </w:r>
      <w:r>
        <w:rPr>
          <w:rFonts w:asciiTheme="minorHAnsi" w:eastAsiaTheme="minorHAnsi" w:hAnsiTheme="minorHAnsi" w:cstheme="minorBidi"/>
          <w:sz w:val="22"/>
          <w:szCs w:val="22"/>
        </w:rPr>
        <w:t xml:space="preserve"> </w:t>
      </w:r>
      <w:r w:rsidRPr="00D273B4">
        <w:rPr>
          <w:rFonts w:asciiTheme="minorHAnsi" w:eastAsiaTheme="minorHAnsi" w:hAnsiTheme="minorHAnsi" w:cstheme="minorBidi"/>
          <w:sz w:val="22"/>
          <w:szCs w:val="22"/>
        </w:rPr>
        <w:t>Upon a closer examination of the building analysis in WV watersheds, the following points are noticeable</w:t>
      </w:r>
      <w:r>
        <w:rPr>
          <w:rFonts w:asciiTheme="minorHAnsi" w:eastAsiaTheme="minorHAnsi" w:hAnsiTheme="minorHAnsi" w:cstheme="minorBidi"/>
          <w:sz w:val="22"/>
          <w:szCs w:val="22"/>
        </w:rPr>
        <w:t>:</w:t>
      </w:r>
    </w:p>
    <w:p w14:paraId="5466B749" w14:textId="69408F88" w:rsidR="009E3DBB" w:rsidRDefault="009E3DBB" w:rsidP="00D35DB4">
      <w:pPr>
        <w:pStyle w:val="NormalWeb"/>
        <w:numPr>
          <w:ilvl w:val="0"/>
          <w:numId w:val="1"/>
        </w:numPr>
        <w:shd w:val="clear" w:color="auto" w:fill="FFFFFF" w:themeFill="background1"/>
        <w:spacing w:before="0" w:beforeAutospacing="0" w:after="300" w:afterAutospacing="0" w:line="276" w:lineRule="auto"/>
        <w:rPr>
          <w:rFonts w:asciiTheme="minorHAnsi" w:eastAsiaTheme="minorHAnsi" w:hAnsiTheme="minorHAnsi" w:cstheme="minorBidi"/>
          <w:sz w:val="22"/>
          <w:szCs w:val="22"/>
        </w:rPr>
      </w:pPr>
      <w:r w:rsidRPr="00B31A5C">
        <w:rPr>
          <w:rFonts w:asciiTheme="minorHAnsi" w:eastAsiaTheme="minorHAnsi" w:hAnsiTheme="minorHAnsi" w:cstheme="minorBidi"/>
          <w:b/>
          <w:bCs/>
          <w:sz w:val="22"/>
          <w:szCs w:val="22"/>
        </w:rPr>
        <w:t>Lower Kanawha</w:t>
      </w:r>
      <w:r w:rsidR="00B31A5C">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r w:rsidR="00396529">
        <w:rPr>
          <w:rFonts w:asciiTheme="minorHAnsi" w:eastAsiaTheme="minorHAnsi" w:hAnsiTheme="minorHAnsi" w:cstheme="minorBidi"/>
          <w:sz w:val="22"/>
          <w:szCs w:val="22"/>
        </w:rPr>
        <w:t>H</w:t>
      </w:r>
      <w:r>
        <w:rPr>
          <w:rFonts w:asciiTheme="minorHAnsi" w:eastAsiaTheme="minorHAnsi" w:hAnsiTheme="minorHAnsi" w:cstheme="minorBidi"/>
          <w:sz w:val="22"/>
          <w:szCs w:val="22"/>
        </w:rPr>
        <w:t>ighest number of buildings (9</w:t>
      </w:r>
      <w:r w:rsidR="00845F62">
        <w:rPr>
          <w:rFonts w:asciiTheme="minorHAnsi" w:eastAsiaTheme="minorHAnsi" w:hAnsiTheme="minorHAnsi" w:cstheme="minorBidi"/>
          <w:sz w:val="22"/>
          <w:szCs w:val="22"/>
        </w:rPr>
        <w:t>,</w:t>
      </w:r>
      <w:r>
        <w:rPr>
          <w:rFonts w:asciiTheme="minorHAnsi" w:eastAsiaTheme="minorHAnsi" w:hAnsiTheme="minorHAnsi" w:cstheme="minorBidi"/>
          <w:sz w:val="22"/>
          <w:szCs w:val="22"/>
        </w:rPr>
        <w:t>130</w:t>
      </w:r>
      <w:r w:rsidR="00845F62">
        <w:rPr>
          <w:rFonts w:asciiTheme="minorHAnsi" w:eastAsiaTheme="minorHAnsi" w:hAnsiTheme="minorHAnsi" w:cstheme="minorBidi"/>
          <w:sz w:val="22"/>
          <w:szCs w:val="22"/>
        </w:rPr>
        <w:t xml:space="preserve"> structures</w:t>
      </w:r>
      <w:r>
        <w:rPr>
          <w:rFonts w:asciiTheme="minorHAnsi" w:eastAsiaTheme="minorHAnsi" w:hAnsiTheme="minorHAnsi" w:cstheme="minorBidi"/>
          <w:sz w:val="22"/>
          <w:szCs w:val="22"/>
        </w:rPr>
        <w:t xml:space="preserve">), </w:t>
      </w:r>
      <w:r w:rsidR="00396529">
        <w:rPr>
          <w:rFonts w:asciiTheme="minorHAnsi" w:eastAsiaTheme="minorHAnsi" w:hAnsiTheme="minorHAnsi" w:cstheme="minorBidi"/>
          <w:sz w:val="22"/>
          <w:szCs w:val="22"/>
        </w:rPr>
        <w:t>H</w:t>
      </w:r>
      <w:r>
        <w:rPr>
          <w:rFonts w:asciiTheme="minorHAnsi" w:eastAsiaTheme="minorHAnsi" w:hAnsiTheme="minorHAnsi" w:cstheme="minorBidi"/>
          <w:sz w:val="22"/>
          <w:szCs w:val="22"/>
        </w:rPr>
        <w:t>ighest number of Residential Buildings (8</w:t>
      </w:r>
      <w:r w:rsidR="00845F62">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311), and the </w:t>
      </w:r>
      <w:r w:rsidR="002100B1">
        <w:rPr>
          <w:rFonts w:asciiTheme="minorHAnsi" w:eastAsiaTheme="minorHAnsi" w:hAnsiTheme="minorHAnsi" w:cstheme="minorBidi"/>
          <w:sz w:val="22"/>
          <w:szCs w:val="22"/>
        </w:rPr>
        <w:t>t</w:t>
      </w:r>
      <w:r>
        <w:rPr>
          <w:rFonts w:asciiTheme="minorHAnsi" w:eastAsiaTheme="minorHAnsi" w:hAnsiTheme="minorHAnsi" w:cstheme="minorBidi"/>
          <w:sz w:val="22"/>
          <w:szCs w:val="22"/>
        </w:rPr>
        <w:t>hird number of Non-Residential Buildings (819).</w:t>
      </w:r>
      <w:r w:rsidR="00EE5BE8">
        <w:rPr>
          <w:rFonts w:asciiTheme="minorHAnsi" w:eastAsiaTheme="minorHAnsi" w:hAnsiTheme="minorHAnsi" w:cstheme="minorBidi"/>
          <w:sz w:val="22"/>
          <w:szCs w:val="22"/>
        </w:rPr>
        <w:t xml:space="preserve"> </w:t>
      </w:r>
      <w:r w:rsidR="00D35DB4">
        <w:rPr>
          <w:rFonts w:asciiTheme="minorHAnsi" w:eastAsiaTheme="minorHAnsi" w:hAnsiTheme="minorHAnsi" w:cstheme="minorBidi"/>
          <w:sz w:val="22"/>
          <w:szCs w:val="22"/>
        </w:rPr>
        <w:t>Meanwhile, this watershed also has the highest number of Pre-firm structures (6,316) and</w:t>
      </w:r>
      <w:r w:rsidR="00EE5BE8">
        <w:rPr>
          <w:rFonts w:asciiTheme="minorHAnsi" w:eastAsiaTheme="minorHAnsi" w:hAnsiTheme="minorHAnsi" w:cstheme="minorBidi"/>
          <w:sz w:val="22"/>
          <w:szCs w:val="22"/>
        </w:rPr>
        <w:t xml:space="preserve"> Post-firm structures (2,043).</w:t>
      </w:r>
    </w:p>
    <w:p w14:paraId="3485985E" w14:textId="47940E0D" w:rsidR="00141321" w:rsidRPr="00141321" w:rsidRDefault="006E63DC" w:rsidP="000F6C0B">
      <w:pPr>
        <w:pStyle w:val="NormalWeb"/>
        <w:numPr>
          <w:ilvl w:val="0"/>
          <w:numId w:val="1"/>
        </w:numPr>
        <w:shd w:val="clear" w:color="auto" w:fill="FFFFFF" w:themeFill="background1"/>
        <w:spacing w:before="0" w:beforeAutospacing="0" w:after="300" w:afterAutospacing="0" w:line="276" w:lineRule="auto"/>
        <w:rPr>
          <w:rFonts w:asciiTheme="minorHAnsi" w:eastAsiaTheme="minorHAnsi" w:hAnsiTheme="minorHAnsi" w:cstheme="minorBidi"/>
          <w:sz w:val="22"/>
          <w:szCs w:val="22"/>
        </w:rPr>
      </w:pPr>
      <w:r w:rsidRPr="00141321">
        <w:rPr>
          <w:rFonts w:asciiTheme="minorHAnsi" w:eastAsiaTheme="minorHAnsi" w:hAnsiTheme="minorHAnsi" w:cstheme="minorBidi"/>
          <w:b/>
          <w:bCs/>
          <w:sz w:val="22"/>
          <w:szCs w:val="22"/>
        </w:rPr>
        <w:t xml:space="preserve">Upper Ohio-Wheeling: </w:t>
      </w:r>
      <w:r w:rsidR="00396529" w:rsidRPr="00141321">
        <w:rPr>
          <w:rFonts w:asciiTheme="minorHAnsi" w:eastAsiaTheme="minorHAnsi" w:hAnsiTheme="minorHAnsi" w:cstheme="minorBidi"/>
          <w:sz w:val="22"/>
          <w:szCs w:val="22"/>
        </w:rPr>
        <w:t>H</w:t>
      </w:r>
      <w:r w:rsidR="003F3929" w:rsidRPr="00141321">
        <w:rPr>
          <w:rFonts w:asciiTheme="minorHAnsi" w:eastAsiaTheme="minorHAnsi" w:hAnsiTheme="minorHAnsi" w:cstheme="minorBidi"/>
          <w:sz w:val="22"/>
          <w:szCs w:val="22"/>
        </w:rPr>
        <w:t xml:space="preserve">ighest building density (11.1), </w:t>
      </w:r>
      <w:r w:rsidR="00396529" w:rsidRPr="00141321">
        <w:rPr>
          <w:rFonts w:asciiTheme="minorHAnsi" w:eastAsiaTheme="minorHAnsi" w:hAnsiTheme="minorHAnsi" w:cstheme="minorBidi"/>
          <w:sz w:val="22"/>
          <w:szCs w:val="22"/>
        </w:rPr>
        <w:t>H</w:t>
      </w:r>
      <w:r w:rsidR="003F3929" w:rsidRPr="00141321">
        <w:rPr>
          <w:rFonts w:asciiTheme="minorHAnsi" w:eastAsiaTheme="minorHAnsi" w:hAnsiTheme="minorHAnsi" w:cstheme="minorBidi"/>
          <w:sz w:val="22"/>
          <w:szCs w:val="22"/>
        </w:rPr>
        <w:t>ighest Non-Residential buildings (1</w:t>
      </w:r>
      <w:r w:rsidR="00845F62" w:rsidRPr="00141321">
        <w:rPr>
          <w:rFonts w:asciiTheme="minorHAnsi" w:eastAsiaTheme="minorHAnsi" w:hAnsiTheme="minorHAnsi" w:cstheme="minorBidi"/>
          <w:sz w:val="22"/>
          <w:szCs w:val="22"/>
        </w:rPr>
        <w:t>,</w:t>
      </w:r>
      <w:r w:rsidR="003F3929" w:rsidRPr="00141321">
        <w:rPr>
          <w:rFonts w:asciiTheme="minorHAnsi" w:eastAsiaTheme="minorHAnsi" w:hAnsiTheme="minorHAnsi" w:cstheme="minorBidi"/>
          <w:sz w:val="22"/>
          <w:szCs w:val="22"/>
        </w:rPr>
        <w:t>014</w:t>
      </w:r>
      <w:r w:rsidR="00845F62" w:rsidRPr="00141321">
        <w:rPr>
          <w:rFonts w:asciiTheme="minorHAnsi" w:eastAsiaTheme="minorHAnsi" w:hAnsiTheme="minorHAnsi" w:cstheme="minorBidi"/>
          <w:sz w:val="22"/>
          <w:szCs w:val="22"/>
        </w:rPr>
        <w:t xml:space="preserve"> structures</w:t>
      </w:r>
      <w:r w:rsidR="003F3929" w:rsidRPr="00141321">
        <w:rPr>
          <w:rFonts w:asciiTheme="minorHAnsi" w:eastAsiaTheme="minorHAnsi" w:hAnsiTheme="minorHAnsi" w:cstheme="minorBidi"/>
          <w:sz w:val="22"/>
          <w:szCs w:val="22"/>
        </w:rPr>
        <w:t xml:space="preserve">), </w:t>
      </w:r>
      <w:r w:rsidR="007C20C0" w:rsidRPr="00141321">
        <w:rPr>
          <w:rFonts w:asciiTheme="minorHAnsi" w:eastAsiaTheme="minorHAnsi" w:hAnsiTheme="minorHAnsi" w:cstheme="minorBidi"/>
          <w:sz w:val="22"/>
          <w:szCs w:val="22"/>
        </w:rPr>
        <w:t xml:space="preserve">and </w:t>
      </w:r>
      <w:r w:rsidR="00675772" w:rsidRPr="00141321">
        <w:rPr>
          <w:rFonts w:asciiTheme="minorHAnsi" w:eastAsiaTheme="minorHAnsi" w:hAnsiTheme="minorHAnsi" w:cstheme="minorBidi"/>
          <w:sz w:val="22"/>
          <w:szCs w:val="22"/>
        </w:rPr>
        <w:t xml:space="preserve">the </w:t>
      </w:r>
      <w:r w:rsidR="007C20C0" w:rsidRPr="00141321">
        <w:rPr>
          <w:rFonts w:asciiTheme="minorHAnsi" w:eastAsiaTheme="minorHAnsi" w:hAnsiTheme="minorHAnsi" w:cstheme="minorBidi"/>
          <w:sz w:val="22"/>
          <w:szCs w:val="22"/>
        </w:rPr>
        <w:t>least percentage of owner</w:t>
      </w:r>
      <w:r w:rsidR="0049133E" w:rsidRPr="00141321">
        <w:rPr>
          <w:rFonts w:asciiTheme="minorHAnsi" w:eastAsiaTheme="minorHAnsi" w:hAnsiTheme="minorHAnsi" w:cstheme="minorBidi"/>
          <w:sz w:val="22"/>
          <w:szCs w:val="22"/>
        </w:rPr>
        <w:t>-</w:t>
      </w:r>
      <w:r w:rsidR="007C20C0" w:rsidRPr="00141321">
        <w:rPr>
          <w:rFonts w:asciiTheme="minorHAnsi" w:eastAsiaTheme="minorHAnsi" w:hAnsiTheme="minorHAnsi" w:cstheme="minorBidi"/>
          <w:sz w:val="22"/>
          <w:szCs w:val="22"/>
        </w:rPr>
        <w:t>occupied buildings (53%).</w:t>
      </w:r>
      <w:r w:rsidR="00141321" w:rsidRPr="00141321">
        <w:rPr>
          <w:rFonts w:asciiTheme="minorHAnsi" w:eastAsiaTheme="minorHAnsi" w:hAnsiTheme="minorHAnsi" w:cstheme="minorBidi"/>
          <w:sz w:val="22"/>
          <w:szCs w:val="22"/>
        </w:rPr>
        <w:t xml:space="preserve"> The buildings in this watershed also exhibit the least median year built</w:t>
      </w:r>
      <w:r w:rsidR="00B20691">
        <w:rPr>
          <w:rFonts w:asciiTheme="minorHAnsi" w:eastAsiaTheme="minorHAnsi" w:hAnsiTheme="minorHAnsi" w:cstheme="minorBidi"/>
          <w:sz w:val="22"/>
          <w:szCs w:val="22"/>
        </w:rPr>
        <w:t xml:space="preserve"> (1932)</w:t>
      </w:r>
      <w:r w:rsidR="00141321" w:rsidRPr="00141321">
        <w:rPr>
          <w:rFonts w:asciiTheme="minorHAnsi" w:eastAsiaTheme="minorHAnsi" w:hAnsiTheme="minorHAnsi" w:cstheme="minorBidi"/>
          <w:sz w:val="22"/>
          <w:szCs w:val="22"/>
        </w:rPr>
        <w:t>, which is understandable. Since there are many historical buildings in this area, dating back to the 18th and 19th centuries, this observation aligns with historical trends.</w:t>
      </w:r>
      <w:r w:rsidR="0027728A">
        <w:rPr>
          <w:rFonts w:asciiTheme="minorHAnsi" w:eastAsiaTheme="minorHAnsi" w:hAnsiTheme="minorHAnsi" w:cstheme="minorBidi"/>
          <w:sz w:val="22"/>
          <w:szCs w:val="22"/>
        </w:rPr>
        <w:t xml:space="preserve"> Thus, </w:t>
      </w:r>
      <w:r w:rsidR="000F6C0B">
        <w:rPr>
          <w:rFonts w:asciiTheme="minorHAnsi" w:eastAsiaTheme="minorHAnsi" w:hAnsiTheme="minorHAnsi" w:cstheme="minorBidi"/>
          <w:sz w:val="22"/>
          <w:szCs w:val="22"/>
        </w:rPr>
        <w:t>it has the highest</w:t>
      </w:r>
      <w:r w:rsidR="0027728A">
        <w:rPr>
          <w:rFonts w:asciiTheme="minorHAnsi" w:eastAsiaTheme="minorHAnsi" w:hAnsiTheme="minorHAnsi" w:cstheme="minorBidi"/>
          <w:sz w:val="22"/>
          <w:szCs w:val="22"/>
        </w:rPr>
        <w:t xml:space="preserve"> percentage of Pre-firm structures (86%).</w:t>
      </w:r>
    </w:p>
    <w:p w14:paraId="4ED1FD9B" w14:textId="59C34D9E" w:rsidR="00ED6725" w:rsidRPr="00141321" w:rsidRDefault="00ED6725" w:rsidP="00C43E18">
      <w:pPr>
        <w:pStyle w:val="NormalWeb"/>
        <w:numPr>
          <w:ilvl w:val="0"/>
          <w:numId w:val="1"/>
        </w:numPr>
        <w:shd w:val="clear" w:color="auto" w:fill="FFFFFF" w:themeFill="background1"/>
        <w:spacing w:before="0" w:beforeAutospacing="0" w:after="300" w:afterAutospacing="0" w:line="276" w:lineRule="auto"/>
        <w:rPr>
          <w:rFonts w:asciiTheme="minorHAnsi" w:eastAsiaTheme="minorHAnsi" w:hAnsiTheme="minorHAnsi" w:cstheme="minorBidi"/>
          <w:sz w:val="22"/>
          <w:szCs w:val="22"/>
        </w:rPr>
      </w:pPr>
      <w:r w:rsidRPr="00141321">
        <w:rPr>
          <w:rFonts w:asciiTheme="minorHAnsi" w:eastAsiaTheme="minorHAnsi" w:hAnsiTheme="minorHAnsi" w:cstheme="minorBidi"/>
          <w:b/>
          <w:bCs/>
          <w:sz w:val="22"/>
          <w:szCs w:val="22"/>
        </w:rPr>
        <w:t>Coal Watershed:</w:t>
      </w:r>
      <w:r w:rsidRPr="00141321">
        <w:rPr>
          <w:rFonts w:asciiTheme="minorHAnsi" w:eastAsiaTheme="minorHAnsi" w:hAnsiTheme="minorHAnsi" w:cstheme="minorBidi"/>
          <w:sz w:val="22"/>
          <w:szCs w:val="22"/>
        </w:rPr>
        <w:t xml:space="preserve"> </w:t>
      </w:r>
      <w:r w:rsidR="00396529" w:rsidRPr="00141321">
        <w:rPr>
          <w:rFonts w:asciiTheme="minorHAnsi" w:eastAsiaTheme="minorHAnsi" w:hAnsiTheme="minorHAnsi" w:cstheme="minorBidi"/>
          <w:sz w:val="22"/>
          <w:szCs w:val="22"/>
        </w:rPr>
        <w:t>T</w:t>
      </w:r>
      <w:r w:rsidR="00130969" w:rsidRPr="00141321">
        <w:rPr>
          <w:rFonts w:asciiTheme="minorHAnsi" w:eastAsiaTheme="minorHAnsi" w:hAnsiTheme="minorHAnsi" w:cstheme="minorBidi"/>
          <w:sz w:val="22"/>
          <w:szCs w:val="22"/>
        </w:rPr>
        <w:t>hird watershed in terms of building numbers (7</w:t>
      </w:r>
      <w:r w:rsidR="00845F62" w:rsidRPr="00141321">
        <w:rPr>
          <w:rFonts w:asciiTheme="minorHAnsi" w:eastAsiaTheme="minorHAnsi" w:hAnsiTheme="minorHAnsi" w:cstheme="minorBidi"/>
          <w:sz w:val="22"/>
          <w:szCs w:val="22"/>
        </w:rPr>
        <w:t>,</w:t>
      </w:r>
      <w:r w:rsidR="00130969" w:rsidRPr="00141321">
        <w:rPr>
          <w:rFonts w:asciiTheme="minorHAnsi" w:eastAsiaTheme="minorHAnsi" w:hAnsiTheme="minorHAnsi" w:cstheme="minorBidi"/>
          <w:sz w:val="22"/>
          <w:szCs w:val="22"/>
        </w:rPr>
        <w:t>280</w:t>
      </w:r>
      <w:r w:rsidR="00845F62" w:rsidRPr="00141321">
        <w:rPr>
          <w:rFonts w:asciiTheme="minorHAnsi" w:eastAsiaTheme="minorHAnsi" w:hAnsiTheme="minorHAnsi" w:cstheme="minorBidi"/>
          <w:sz w:val="22"/>
          <w:szCs w:val="22"/>
        </w:rPr>
        <w:t xml:space="preserve"> structures</w:t>
      </w:r>
      <w:r w:rsidR="00130969" w:rsidRPr="00141321">
        <w:rPr>
          <w:rFonts w:asciiTheme="minorHAnsi" w:eastAsiaTheme="minorHAnsi" w:hAnsiTheme="minorHAnsi" w:cstheme="minorBidi"/>
          <w:sz w:val="22"/>
          <w:szCs w:val="22"/>
        </w:rPr>
        <w:t>)</w:t>
      </w:r>
      <w:r w:rsidR="008709EC" w:rsidRPr="00141321">
        <w:rPr>
          <w:rFonts w:asciiTheme="minorHAnsi" w:eastAsiaTheme="minorHAnsi" w:hAnsiTheme="minorHAnsi" w:cstheme="minorBidi"/>
          <w:sz w:val="22"/>
          <w:szCs w:val="22"/>
        </w:rPr>
        <w:t xml:space="preserve">, </w:t>
      </w:r>
      <w:r w:rsidR="00396529" w:rsidRPr="00141321">
        <w:rPr>
          <w:rFonts w:asciiTheme="minorHAnsi" w:eastAsiaTheme="minorHAnsi" w:hAnsiTheme="minorHAnsi" w:cstheme="minorBidi"/>
          <w:sz w:val="22"/>
          <w:szCs w:val="22"/>
        </w:rPr>
        <w:t>T</w:t>
      </w:r>
      <w:r w:rsidR="008709EC" w:rsidRPr="00141321">
        <w:rPr>
          <w:rFonts w:asciiTheme="minorHAnsi" w:eastAsiaTheme="minorHAnsi" w:hAnsiTheme="minorHAnsi" w:cstheme="minorBidi"/>
          <w:sz w:val="22"/>
          <w:szCs w:val="22"/>
        </w:rPr>
        <w:t>hird in the number of Residential buildings (6</w:t>
      </w:r>
      <w:r w:rsidR="006B19B0" w:rsidRPr="00141321">
        <w:rPr>
          <w:rFonts w:asciiTheme="minorHAnsi" w:eastAsiaTheme="minorHAnsi" w:hAnsiTheme="minorHAnsi" w:cstheme="minorBidi"/>
          <w:sz w:val="22"/>
          <w:szCs w:val="22"/>
        </w:rPr>
        <w:t>,</w:t>
      </w:r>
      <w:r w:rsidR="008709EC" w:rsidRPr="00141321">
        <w:rPr>
          <w:rFonts w:asciiTheme="minorHAnsi" w:eastAsiaTheme="minorHAnsi" w:hAnsiTheme="minorHAnsi" w:cstheme="minorBidi"/>
          <w:sz w:val="22"/>
          <w:szCs w:val="22"/>
        </w:rPr>
        <w:t>731 buildings)</w:t>
      </w:r>
      <w:r w:rsidR="00D81328" w:rsidRPr="00141321">
        <w:rPr>
          <w:rFonts w:asciiTheme="minorHAnsi" w:eastAsiaTheme="minorHAnsi" w:hAnsiTheme="minorHAnsi" w:cstheme="minorBidi"/>
          <w:sz w:val="22"/>
          <w:szCs w:val="22"/>
        </w:rPr>
        <w:t xml:space="preserve">, and </w:t>
      </w:r>
      <w:r w:rsidR="00256B43" w:rsidRPr="00141321">
        <w:rPr>
          <w:rFonts w:asciiTheme="minorHAnsi" w:eastAsiaTheme="minorHAnsi" w:hAnsiTheme="minorHAnsi" w:cstheme="minorBidi"/>
          <w:sz w:val="22"/>
          <w:szCs w:val="22"/>
        </w:rPr>
        <w:t>T</w:t>
      </w:r>
      <w:r w:rsidR="00D81328" w:rsidRPr="00141321">
        <w:rPr>
          <w:rFonts w:asciiTheme="minorHAnsi" w:eastAsiaTheme="minorHAnsi" w:hAnsiTheme="minorHAnsi" w:cstheme="minorBidi"/>
          <w:sz w:val="22"/>
          <w:szCs w:val="22"/>
        </w:rPr>
        <w:t xml:space="preserve">hird place in </w:t>
      </w:r>
      <w:r w:rsidR="006B19B0" w:rsidRPr="00141321">
        <w:rPr>
          <w:rFonts w:asciiTheme="minorHAnsi" w:eastAsiaTheme="minorHAnsi" w:hAnsiTheme="minorHAnsi" w:cstheme="minorBidi"/>
          <w:sz w:val="22"/>
          <w:szCs w:val="22"/>
        </w:rPr>
        <w:t xml:space="preserve">the </w:t>
      </w:r>
      <w:r w:rsidR="00D81328" w:rsidRPr="00141321">
        <w:rPr>
          <w:rFonts w:asciiTheme="minorHAnsi" w:eastAsiaTheme="minorHAnsi" w:hAnsiTheme="minorHAnsi" w:cstheme="minorBidi"/>
          <w:sz w:val="22"/>
          <w:szCs w:val="22"/>
        </w:rPr>
        <w:t>number of mobile homes (2</w:t>
      </w:r>
      <w:r w:rsidR="006B19B0" w:rsidRPr="00141321">
        <w:rPr>
          <w:rFonts w:asciiTheme="minorHAnsi" w:eastAsiaTheme="minorHAnsi" w:hAnsiTheme="minorHAnsi" w:cstheme="minorBidi"/>
          <w:sz w:val="22"/>
          <w:szCs w:val="22"/>
        </w:rPr>
        <w:t>,</w:t>
      </w:r>
      <w:r w:rsidR="00D81328" w:rsidRPr="00141321">
        <w:rPr>
          <w:rFonts w:asciiTheme="minorHAnsi" w:eastAsiaTheme="minorHAnsi" w:hAnsiTheme="minorHAnsi" w:cstheme="minorBidi"/>
          <w:sz w:val="22"/>
          <w:szCs w:val="22"/>
        </w:rPr>
        <w:t>205</w:t>
      </w:r>
      <w:r w:rsidR="004B6FAE" w:rsidRPr="00141321">
        <w:rPr>
          <w:rFonts w:asciiTheme="minorHAnsi" w:eastAsiaTheme="minorHAnsi" w:hAnsiTheme="minorHAnsi" w:cstheme="minorBidi"/>
          <w:sz w:val="22"/>
          <w:szCs w:val="22"/>
        </w:rPr>
        <w:t xml:space="preserve"> mobile</w:t>
      </w:r>
      <w:r w:rsidR="00C90120" w:rsidRPr="00141321">
        <w:rPr>
          <w:rFonts w:asciiTheme="minorHAnsi" w:eastAsiaTheme="minorHAnsi" w:hAnsiTheme="minorHAnsi" w:cstheme="minorBidi"/>
          <w:sz w:val="22"/>
          <w:szCs w:val="22"/>
        </w:rPr>
        <w:t xml:space="preserve"> homes</w:t>
      </w:r>
      <w:r w:rsidR="00D81328" w:rsidRPr="00141321">
        <w:rPr>
          <w:rFonts w:asciiTheme="minorHAnsi" w:eastAsiaTheme="minorHAnsi" w:hAnsiTheme="minorHAnsi" w:cstheme="minorBidi"/>
          <w:sz w:val="22"/>
          <w:szCs w:val="22"/>
        </w:rPr>
        <w:t>)</w:t>
      </w:r>
      <w:r w:rsidR="00845F62" w:rsidRPr="00141321">
        <w:rPr>
          <w:rFonts w:asciiTheme="minorHAnsi" w:eastAsiaTheme="minorHAnsi" w:hAnsiTheme="minorHAnsi" w:cstheme="minorBidi"/>
          <w:sz w:val="22"/>
          <w:szCs w:val="22"/>
        </w:rPr>
        <w:t>.</w:t>
      </w:r>
    </w:p>
    <w:p w14:paraId="32C01E70" w14:textId="22A46E63" w:rsidR="00BC05FD" w:rsidRDefault="00BC05FD" w:rsidP="00256B43">
      <w:pPr>
        <w:pStyle w:val="NormalWeb"/>
        <w:numPr>
          <w:ilvl w:val="0"/>
          <w:numId w:val="1"/>
        </w:numPr>
        <w:shd w:val="clear" w:color="auto" w:fill="FFFFFF" w:themeFill="background1"/>
        <w:spacing w:before="0" w:beforeAutospacing="0" w:after="300" w:afterAutospacing="0" w:line="276" w:lineRule="auto"/>
        <w:rPr>
          <w:rFonts w:asciiTheme="minorHAnsi" w:eastAsiaTheme="minorHAnsi" w:hAnsiTheme="minorHAnsi" w:cstheme="minorBidi"/>
          <w:sz w:val="22"/>
          <w:szCs w:val="22"/>
        </w:rPr>
      </w:pPr>
      <w:r>
        <w:rPr>
          <w:rFonts w:asciiTheme="minorHAnsi" w:eastAsiaTheme="minorHAnsi" w:hAnsiTheme="minorHAnsi" w:cstheme="minorBidi"/>
          <w:b/>
          <w:bCs/>
          <w:sz w:val="22"/>
          <w:szCs w:val="22"/>
        </w:rPr>
        <w:lastRenderedPageBreak/>
        <w:t>Upper Kanawha:</w:t>
      </w:r>
      <w:r w:rsidR="00462705">
        <w:rPr>
          <w:rFonts w:asciiTheme="minorHAnsi" w:eastAsiaTheme="minorHAnsi" w:hAnsiTheme="minorHAnsi" w:cstheme="minorBidi"/>
          <w:sz w:val="22"/>
          <w:szCs w:val="22"/>
        </w:rPr>
        <w:t xml:space="preserve"> </w:t>
      </w:r>
      <w:r w:rsidR="00396529">
        <w:rPr>
          <w:rFonts w:asciiTheme="minorHAnsi" w:eastAsiaTheme="minorHAnsi" w:hAnsiTheme="minorHAnsi" w:cstheme="minorBidi"/>
          <w:sz w:val="22"/>
          <w:szCs w:val="22"/>
        </w:rPr>
        <w:t>S</w:t>
      </w:r>
      <w:r w:rsidR="00462705">
        <w:rPr>
          <w:rFonts w:asciiTheme="minorHAnsi" w:eastAsiaTheme="minorHAnsi" w:hAnsiTheme="minorHAnsi" w:cstheme="minorBidi"/>
          <w:sz w:val="22"/>
          <w:szCs w:val="22"/>
        </w:rPr>
        <w:t xml:space="preserve">econd high-density buildings watershed (10.8), </w:t>
      </w:r>
      <w:r w:rsidR="00396529">
        <w:rPr>
          <w:rFonts w:asciiTheme="minorHAnsi" w:eastAsiaTheme="minorHAnsi" w:hAnsiTheme="minorHAnsi" w:cstheme="minorBidi"/>
          <w:sz w:val="22"/>
          <w:szCs w:val="22"/>
          <w:u w:val="single"/>
        </w:rPr>
        <w:t>F</w:t>
      </w:r>
      <w:r w:rsidR="0032293C" w:rsidRPr="0032293C">
        <w:rPr>
          <w:rFonts w:asciiTheme="minorHAnsi" w:eastAsiaTheme="minorHAnsi" w:hAnsiTheme="minorHAnsi" w:cstheme="minorBidi"/>
          <w:sz w:val="22"/>
          <w:szCs w:val="22"/>
          <w:u w:val="single"/>
        </w:rPr>
        <w:t>irst</w:t>
      </w:r>
      <w:r w:rsidR="0032293C">
        <w:rPr>
          <w:rStyle w:val="FootnoteReference"/>
          <w:rFonts w:asciiTheme="minorHAnsi" w:eastAsiaTheme="minorHAnsi" w:hAnsiTheme="minorHAnsi" w:cstheme="minorBidi"/>
          <w:sz w:val="22"/>
          <w:szCs w:val="22"/>
        </w:rPr>
        <w:footnoteReference w:id="1"/>
      </w:r>
      <w:r w:rsidR="0032293C">
        <w:rPr>
          <w:rFonts w:asciiTheme="minorHAnsi" w:eastAsiaTheme="minorHAnsi" w:hAnsiTheme="minorHAnsi" w:cstheme="minorBidi"/>
          <w:sz w:val="22"/>
          <w:szCs w:val="22"/>
        </w:rPr>
        <w:t xml:space="preserve"> in the percentage of residential (93%)</w:t>
      </w:r>
      <w:r w:rsidR="00AE0F57">
        <w:rPr>
          <w:rFonts w:asciiTheme="minorHAnsi" w:eastAsiaTheme="minorHAnsi" w:hAnsiTheme="minorHAnsi" w:cstheme="minorBidi"/>
          <w:sz w:val="22"/>
          <w:szCs w:val="22"/>
        </w:rPr>
        <w:t xml:space="preserve">, and </w:t>
      </w:r>
      <w:r w:rsidR="00256B43">
        <w:rPr>
          <w:rFonts w:asciiTheme="minorHAnsi" w:eastAsiaTheme="minorHAnsi" w:hAnsiTheme="minorHAnsi" w:cstheme="minorBidi"/>
          <w:sz w:val="22"/>
          <w:szCs w:val="22"/>
        </w:rPr>
        <w:t>F</w:t>
      </w:r>
      <w:r w:rsidR="00AE0F57">
        <w:rPr>
          <w:rFonts w:asciiTheme="minorHAnsi" w:eastAsiaTheme="minorHAnsi" w:hAnsiTheme="minorHAnsi" w:cstheme="minorBidi"/>
          <w:sz w:val="22"/>
          <w:szCs w:val="22"/>
        </w:rPr>
        <w:t>ifth watershed in the number of owner-occupied buildings (3,792).</w:t>
      </w:r>
    </w:p>
    <w:p w14:paraId="622FB92A" w14:textId="04FB8366" w:rsidR="00A14EE9" w:rsidRDefault="00A14EE9" w:rsidP="00256B43">
      <w:pPr>
        <w:pStyle w:val="NormalWeb"/>
        <w:numPr>
          <w:ilvl w:val="0"/>
          <w:numId w:val="1"/>
        </w:numPr>
        <w:shd w:val="clear" w:color="auto" w:fill="FFFFFF" w:themeFill="background1"/>
        <w:spacing w:before="0" w:beforeAutospacing="0" w:after="300" w:afterAutospacing="0" w:line="276" w:lineRule="auto"/>
        <w:rPr>
          <w:rFonts w:asciiTheme="minorHAnsi" w:eastAsiaTheme="minorHAnsi" w:hAnsiTheme="minorHAnsi" w:cstheme="minorBidi"/>
          <w:sz w:val="22"/>
          <w:szCs w:val="22"/>
        </w:rPr>
      </w:pPr>
      <w:r>
        <w:rPr>
          <w:rFonts w:asciiTheme="minorHAnsi" w:eastAsiaTheme="minorHAnsi" w:hAnsiTheme="minorHAnsi" w:cstheme="minorBidi"/>
          <w:b/>
          <w:bCs/>
          <w:sz w:val="22"/>
          <w:szCs w:val="22"/>
        </w:rPr>
        <w:t>Coal:</w:t>
      </w:r>
      <w:r w:rsidR="00C43774">
        <w:rPr>
          <w:rFonts w:asciiTheme="minorHAnsi" w:eastAsiaTheme="minorHAnsi" w:hAnsiTheme="minorHAnsi" w:cstheme="minorBidi"/>
          <w:b/>
          <w:bCs/>
          <w:sz w:val="22"/>
          <w:szCs w:val="22"/>
        </w:rPr>
        <w:t xml:space="preserve"> </w:t>
      </w:r>
      <w:r w:rsidR="00396529">
        <w:rPr>
          <w:rFonts w:asciiTheme="minorHAnsi" w:eastAsiaTheme="minorHAnsi" w:hAnsiTheme="minorHAnsi" w:cstheme="minorBidi"/>
          <w:sz w:val="22"/>
          <w:szCs w:val="22"/>
        </w:rPr>
        <w:t>T</w:t>
      </w:r>
      <w:r w:rsidR="00C43774" w:rsidRPr="00C43774">
        <w:rPr>
          <w:rFonts w:asciiTheme="minorHAnsi" w:eastAsiaTheme="minorHAnsi" w:hAnsiTheme="minorHAnsi" w:cstheme="minorBidi"/>
          <w:sz w:val="22"/>
          <w:szCs w:val="22"/>
        </w:rPr>
        <w:t>hird place in</w:t>
      </w:r>
      <w:r w:rsidR="00C43774">
        <w:rPr>
          <w:rFonts w:asciiTheme="minorHAnsi" w:eastAsiaTheme="minorHAnsi" w:hAnsiTheme="minorHAnsi" w:cstheme="minorBidi"/>
          <w:b/>
          <w:bCs/>
          <w:sz w:val="22"/>
          <w:szCs w:val="22"/>
        </w:rPr>
        <w:t xml:space="preserve"> </w:t>
      </w:r>
      <w:r w:rsidR="00C20E5F" w:rsidRPr="00C20E5F">
        <w:rPr>
          <w:rFonts w:asciiTheme="minorHAnsi" w:eastAsiaTheme="minorHAnsi" w:hAnsiTheme="minorHAnsi" w:cstheme="minorBidi"/>
          <w:sz w:val="22"/>
          <w:szCs w:val="22"/>
        </w:rPr>
        <w:t>the number of buildings (7,280)</w:t>
      </w:r>
      <w:r w:rsidR="00C20E5F">
        <w:rPr>
          <w:rFonts w:asciiTheme="minorHAnsi" w:eastAsiaTheme="minorHAnsi" w:hAnsiTheme="minorHAnsi" w:cstheme="minorBidi"/>
          <w:sz w:val="22"/>
          <w:szCs w:val="22"/>
        </w:rPr>
        <w:t xml:space="preserve">, </w:t>
      </w:r>
      <w:r w:rsidR="00396529">
        <w:rPr>
          <w:rFonts w:asciiTheme="minorHAnsi" w:eastAsiaTheme="minorHAnsi" w:hAnsiTheme="minorHAnsi" w:cstheme="minorBidi"/>
          <w:sz w:val="22"/>
          <w:szCs w:val="22"/>
        </w:rPr>
        <w:t>T</w:t>
      </w:r>
      <w:r w:rsidR="00C20E5F">
        <w:rPr>
          <w:rFonts w:asciiTheme="minorHAnsi" w:eastAsiaTheme="minorHAnsi" w:hAnsiTheme="minorHAnsi" w:cstheme="minorBidi"/>
          <w:sz w:val="22"/>
          <w:szCs w:val="22"/>
        </w:rPr>
        <w:t xml:space="preserve">hird in the number of residential buildings (6,731), </w:t>
      </w:r>
      <w:r w:rsidR="00396529">
        <w:rPr>
          <w:rFonts w:asciiTheme="minorHAnsi" w:eastAsiaTheme="minorHAnsi" w:hAnsiTheme="minorHAnsi" w:cstheme="minorBidi"/>
          <w:sz w:val="22"/>
          <w:szCs w:val="22"/>
        </w:rPr>
        <w:t>S</w:t>
      </w:r>
      <w:r w:rsidR="00C20E5F">
        <w:rPr>
          <w:rFonts w:asciiTheme="minorHAnsi" w:eastAsiaTheme="minorHAnsi" w:hAnsiTheme="minorHAnsi" w:cstheme="minorBidi"/>
          <w:sz w:val="22"/>
          <w:szCs w:val="22"/>
        </w:rPr>
        <w:t xml:space="preserve">econd in the percentage of residential (92%), </w:t>
      </w:r>
      <w:r w:rsidR="00B95ED7">
        <w:rPr>
          <w:rFonts w:asciiTheme="minorHAnsi" w:eastAsiaTheme="minorHAnsi" w:hAnsiTheme="minorHAnsi" w:cstheme="minorBidi"/>
          <w:sz w:val="22"/>
          <w:szCs w:val="22"/>
        </w:rPr>
        <w:t xml:space="preserve">and </w:t>
      </w:r>
      <w:r w:rsidR="00256B43">
        <w:rPr>
          <w:rFonts w:asciiTheme="minorHAnsi" w:eastAsiaTheme="minorHAnsi" w:hAnsiTheme="minorHAnsi" w:cstheme="minorBidi"/>
          <w:sz w:val="22"/>
          <w:szCs w:val="22"/>
        </w:rPr>
        <w:t>T</w:t>
      </w:r>
      <w:r w:rsidR="00B95ED7">
        <w:rPr>
          <w:rFonts w:asciiTheme="minorHAnsi" w:eastAsiaTheme="minorHAnsi" w:hAnsiTheme="minorHAnsi" w:cstheme="minorBidi"/>
          <w:sz w:val="22"/>
          <w:szCs w:val="22"/>
        </w:rPr>
        <w:t xml:space="preserve">hird in </w:t>
      </w:r>
      <w:r w:rsidR="0099236D">
        <w:rPr>
          <w:rFonts w:asciiTheme="minorHAnsi" w:eastAsiaTheme="minorHAnsi" w:hAnsiTheme="minorHAnsi" w:cstheme="minorBidi"/>
          <w:sz w:val="22"/>
          <w:szCs w:val="22"/>
        </w:rPr>
        <w:t xml:space="preserve">the </w:t>
      </w:r>
      <w:r w:rsidR="00B95ED7">
        <w:rPr>
          <w:rFonts w:asciiTheme="minorHAnsi" w:eastAsiaTheme="minorHAnsi" w:hAnsiTheme="minorHAnsi" w:cstheme="minorBidi"/>
          <w:sz w:val="22"/>
          <w:szCs w:val="22"/>
        </w:rPr>
        <w:t>number of mobile homes (2,205).</w:t>
      </w:r>
    </w:p>
    <w:p w14:paraId="79C02B3B" w14:textId="75DBB8B9" w:rsidR="0099236D" w:rsidRDefault="00F8253F" w:rsidP="00407075">
      <w:pPr>
        <w:pStyle w:val="NormalWeb"/>
        <w:numPr>
          <w:ilvl w:val="0"/>
          <w:numId w:val="1"/>
        </w:numPr>
        <w:shd w:val="clear" w:color="auto" w:fill="FFFFFF" w:themeFill="background1"/>
        <w:spacing w:before="0" w:beforeAutospacing="0" w:after="300" w:afterAutospacing="0" w:line="276" w:lineRule="auto"/>
        <w:rPr>
          <w:rFonts w:asciiTheme="minorHAnsi" w:eastAsiaTheme="minorHAnsi" w:hAnsiTheme="minorHAnsi" w:cstheme="minorBidi"/>
          <w:sz w:val="22"/>
          <w:szCs w:val="22"/>
        </w:rPr>
      </w:pPr>
      <w:r>
        <w:rPr>
          <w:rFonts w:asciiTheme="minorHAnsi" w:eastAsiaTheme="minorHAnsi" w:hAnsiTheme="minorHAnsi" w:cstheme="minorBidi"/>
          <w:b/>
          <w:bCs/>
          <w:sz w:val="22"/>
          <w:szCs w:val="22"/>
        </w:rPr>
        <w:t xml:space="preserve">Elk: </w:t>
      </w:r>
      <w:r w:rsidR="00396529">
        <w:rPr>
          <w:rFonts w:asciiTheme="minorHAnsi" w:eastAsiaTheme="minorHAnsi" w:hAnsiTheme="minorHAnsi" w:cstheme="minorBidi"/>
          <w:sz w:val="22"/>
          <w:szCs w:val="22"/>
        </w:rPr>
        <w:t>T</w:t>
      </w:r>
      <w:r w:rsidR="00396529" w:rsidRPr="00396529">
        <w:rPr>
          <w:rFonts w:asciiTheme="minorHAnsi" w:eastAsiaTheme="minorHAnsi" w:hAnsiTheme="minorHAnsi" w:cstheme="minorBidi"/>
          <w:sz w:val="22"/>
          <w:szCs w:val="22"/>
        </w:rPr>
        <w:t xml:space="preserve">hird </w:t>
      </w:r>
      <w:r w:rsidR="00396529">
        <w:rPr>
          <w:rFonts w:asciiTheme="minorHAnsi" w:eastAsiaTheme="minorHAnsi" w:hAnsiTheme="minorHAnsi" w:cstheme="minorBidi"/>
          <w:sz w:val="22"/>
          <w:szCs w:val="22"/>
        </w:rPr>
        <w:t xml:space="preserve">top in the </w:t>
      </w:r>
      <w:r w:rsidR="00396529" w:rsidRPr="00396529">
        <w:rPr>
          <w:rFonts w:asciiTheme="minorHAnsi" w:eastAsiaTheme="minorHAnsi" w:hAnsiTheme="minorHAnsi" w:cstheme="minorBidi"/>
          <w:sz w:val="22"/>
          <w:szCs w:val="22"/>
        </w:rPr>
        <w:t>percentage of residential buildings</w:t>
      </w:r>
      <w:r w:rsidR="00396529">
        <w:rPr>
          <w:rFonts w:asciiTheme="minorHAnsi" w:eastAsiaTheme="minorHAnsi" w:hAnsiTheme="minorHAnsi" w:cstheme="minorBidi"/>
          <w:sz w:val="22"/>
          <w:szCs w:val="22"/>
        </w:rPr>
        <w:t xml:space="preserve"> (91%)</w:t>
      </w:r>
      <w:r w:rsidR="00407075">
        <w:rPr>
          <w:rFonts w:asciiTheme="minorHAnsi" w:eastAsiaTheme="minorHAnsi" w:hAnsiTheme="minorHAnsi" w:cstheme="minorBidi"/>
          <w:sz w:val="22"/>
          <w:szCs w:val="22"/>
        </w:rPr>
        <w:t xml:space="preserve"> with three other watersheds: </w:t>
      </w:r>
      <w:r w:rsidR="00407075" w:rsidRPr="004665FE">
        <w:rPr>
          <w:rFonts w:asciiTheme="minorHAnsi" w:eastAsiaTheme="minorHAnsi" w:hAnsiTheme="minorHAnsi" w:cstheme="minorBidi"/>
          <w:i/>
          <w:iCs/>
          <w:sz w:val="22"/>
          <w:szCs w:val="22"/>
        </w:rPr>
        <w:t>Lower Guyandotte</w:t>
      </w:r>
      <w:r w:rsidR="00407075">
        <w:rPr>
          <w:rFonts w:asciiTheme="minorHAnsi" w:eastAsiaTheme="minorHAnsi" w:hAnsiTheme="minorHAnsi" w:cstheme="minorBidi"/>
          <w:sz w:val="22"/>
          <w:szCs w:val="22"/>
        </w:rPr>
        <w:t xml:space="preserve">, </w:t>
      </w:r>
      <w:r w:rsidR="00407075" w:rsidRPr="004665FE">
        <w:rPr>
          <w:rFonts w:asciiTheme="minorHAnsi" w:eastAsiaTheme="minorHAnsi" w:hAnsiTheme="minorHAnsi" w:cstheme="minorBidi"/>
          <w:i/>
          <w:iCs/>
          <w:sz w:val="22"/>
          <w:szCs w:val="22"/>
        </w:rPr>
        <w:t>Cacapon-Town</w:t>
      </w:r>
      <w:r w:rsidR="00407075">
        <w:rPr>
          <w:rFonts w:asciiTheme="minorHAnsi" w:eastAsiaTheme="minorHAnsi" w:hAnsiTheme="minorHAnsi" w:cstheme="minorBidi"/>
          <w:sz w:val="22"/>
          <w:szCs w:val="22"/>
        </w:rPr>
        <w:t xml:space="preserve">, and </w:t>
      </w:r>
      <w:r w:rsidR="00407075" w:rsidRPr="004665FE">
        <w:rPr>
          <w:rFonts w:asciiTheme="minorHAnsi" w:eastAsiaTheme="minorHAnsi" w:hAnsiTheme="minorHAnsi" w:cstheme="minorBidi"/>
          <w:i/>
          <w:iCs/>
          <w:sz w:val="22"/>
          <w:szCs w:val="22"/>
        </w:rPr>
        <w:t>Lower Kanawha</w:t>
      </w:r>
      <w:r w:rsidR="00407075">
        <w:rPr>
          <w:rFonts w:asciiTheme="minorHAnsi" w:eastAsiaTheme="minorHAnsi" w:hAnsiTheme="minorHAnsi" w:cstheme="minorBidi"/>
          <w:sz w:val="22"/>
          <w:szCs w:val="22"/>
        </w:rPr>
        <w:t>.</w:t>
      </w:r>
    </w:p>
    <w:p w14:paraId="094A94DC" w14:textId="56A80D3C" w:rsidR="001E474C" w:rsidRDefault="00A430C0" w:rsidP="000966BE">
      <w:pPr>
        <w:pStyle w:val="NormalWeb"/>
        <w:numPr>
          <w:ilvl w:val="0"/>
          <w:numId w:val="1"/>
        </w:numPr>
        <w:shd w:val="clear" w:color="auto" w:fill="FFFFFF" w:themeFill="background1"/>
        <w:spacing w:before="0" w:beforeAutospacing="0" w:after="300" w:afterAutospacing="0" w:line="276" w:lineRule="auto"/>
        <w:rPr>
          <w:rFonts w:asciiTheme="minorHAnsi" w:eastAsiaTheme="minorHAnsi" w:hAnsiTheme="minorHAnsi" w:cstheme="minorBidi"/>
          <w:sz w:val="22"/>
          <w:szCs w:val="22"/>
        </w:rPr>
      </w:pPr>
      <w:r w:rsidRPr="008D2FED">
        <w:rPr>
          <w:rFonts w:asciiTheme="minorHAnsi" w:eastAsiaTheme="minorHAnsi" w:hAnsiTheme="minorHAnsi" w:cstheme="minorBidi"/>
          <w:b/>
          <w:bCs/>
          <w:noProof/>
          <w:sz w:val="22"/>
          <w:szCs w:val="22"/>
        </w:rPr>
        <w:drawing>
          <wp:anchor distT="0" distB="0" distL="114300" distR="114300" simplePos="0" relativeHeight="251658240" behindDoc="0" locked="0" layoutInCell="1" allowOverlap="1" wp14:anchorId="559F7543" wp14:editId="090B7D13">
            <wp:simplePos x="0" y="0"/>
            <wp:positionH relativeFrom="margin">
              <wp:posOffset>111125</wp:posOffset>
            </wp:positionH>
            <wp:positionV relativeFrom="paragraph">
              <wp:posOffset>838200</wp:posOffset>
            </wp:positionV>
            <wp:extent cx="5681345" cy="4389755"/>
            <wp:effectExtent l="0" t="0" r="0" b="0"/>
            <wp:wrapThrough wrapText="bothSides">
              <wp:wrapPolygon edited="0">
                <wp:start x="0" y="0"/>
                <wp:lineTo x="0" y="21466"/>
                <wp:lineTo x="21511" y="21466"/>
                <wp:lineTo x="215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_Risk_Watersheds_Bldg_Cou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1345" cy="4389755"/>
                    </a:xfrm>
                    <a:prstGeom prst="rect">
                      <a:avLst/>
                    </a:prstGeom>
                  </pic:spPr>
                </pic:pic>
              </a:graphicData>
            </a:graphic>
            <wp14:sizeRelH relativeFrom="page">
              <wp14:pctWidth>0</wp14:pctWidth>
            </wp14:sizeRelH>
            <wp14:sizeRelV relativeFrom="page">
              <wp14:pctHeight>0</wp14:pctHeight>
            </wp14:sizeRelV>
          </wp:anchor>
        </w:drawing>
      </w:r>
      <w:r w:rsidR="001E474C" w:rsidRPr="001E474C">
        <w:rPr>
          <w:rFonts w:asciiTheme="minorHAnsi" w:eastAsiaTheme="minorHAnsi" w:hAnsiTheme="minorHAnsi" w:cstheme="minorBidi"/>
          <w:b/>
          <w:bCs/>
          <w:sz w:val="22"/>
          <w:szCs w:val="22"/>
        </w:rPr>
        <w:t>Upper Guyandotte</w:t>
      </w:r>
      <w:r w:rsidR="001E474C">
        <w:rPr>
          <w:rFonts w:asciiTheme="minorHAnsi" w:eastAsiaTheme="minorHAnsi" w:hAnsiTheme="minorHAnsi" w:cstheme="minorBidi"/>
          <w:b/>
          <w:bCs/>
          <w:sz w:val="22"/>
          <w:szCs w:val="22"/>
        </w:rPr>
        <w:t xml:space="preserve">: </w:t>
      </w:r>
      <w:r w:rsidR="00241B30" w:rsidRPr="001246F1">
        <w:rPr>
          <w:rFonts w:asciiTheme="minorHAnsi" w:eastAsiaTheme="minorHAnsi" w:hAnsiTheme="minorHAnsi" w:cstheme="minorBidi"/>
          <w:sz w:val="22"/>
          <w:szCs w:val="22"/>
        </w:rPr>
        <w:t xml:space="preserve">Second in </w:t>
      </w:r>
      <w:r w:rsidR="00C4663D">
        <w:rPr>
          <w:rFonts w:asciiTheme="minorHAnsi" w:eastAsiaTheme="minorHAnsi" w:hAnsiTheme="minorHAnsi" w:cstheme="minorBidi"/>
          <w:sz w:val="22"/>
          <w:szCs w:val="22"/>
        </w:rPr>
        <w:t xml:space="preserve">the </w:t>
      </w:r>
      <w:r w:rsidR="00241B30" w:rsidRPr="001246F1">
        <w:rPr>
          <w:rFonts w:asciiTheme="minorHAnsi" w:eastAsiaTheme="minorHAnsi" w:hAnsiTheme="minorHAnsi" w:cstheme="minorBidi"/>
          <w:sz w:val="22"/>
          <w:szCs w:val="22"/>
        </w:rPr>
        <w:t xml:space="preserve">number of buildings </w:t>
      </w:r>
      <w:r w:rsidR="001246F1" w:rsidRPr="001246F1">
        <w:rPr>
          <w:rFonts w:asciiTheme="minorHAnsi" w:eastAsiaTheme="minorHAnsi" w:hAnsiTheme="minorHAnsi" w:cstheme="minorBidi"/>
          <w:sz w:val="22"/>
          <w:szCs w:val="22"/>
        </w:rPr>
        <w:t>(7</w:t>
      </w:r>
      <w:r w:rsidR="001246F1">
        <w:rPr>
          <w:rFonts w:asciiTheme="minorHAnsi" w:eastAsiaTheme="minorHAnsi" w:hAnsiTheme="minorHAnsi" w:cstheme="minorBidi"/>
          <w:sz w:val="22"/>
          <w:szCs w:val="22"/>
        </w:rPr>
        <w:t>,</w:t>
      </w:r>
      <w:r w:rsidR="001246F1" w:rsidRPr="001246F1">
        <w:rPr>
          <w:rFonts w:asciiTheme="minorHAnsi" w:eastAsiaTheme="minorHAnsi" w:hAnsiTheme="minorHAnsi" w:cstheme="minorBidi"/>
          <w:sz w:val="22"/>
          <w:szCs w:val="22"/>
        </w:rPr>
        <w:t>745 structures)</w:t>
      </w:r>
      <w:r w:rsidR="001246F1">
        <w:rPr>
          <w:rFonts w:asciiTheme="minorHAnsi" w:eastAsiaTheme="minorHAnsi" w:hAnsiTheme="minorHAnsi" w:cstheme="minorBidi"/>
          <w:sz w:val="22"/>
          <w:szCs w:val="22"/>
        </w:rPr>
        <w:t xml:space="preserve">, </w:t>
      </w:r>
      <w:r w:rsidR="00260C5B">
        <w:rPr>
          <w:rFonts w:asciiTheme="minorHAnsi" w:eastAsiaTheme="minorHAnsi" w:hAnsiTheme="minorHAnsi" w:cstheme="minorBidi"/>
          <w:sz w:val="22"/>
          <w:szCs w:val="22"/>
        </w:rPr>
        <w:t>Second in the number of residential buildings (</w:t>
      </w:r>
      <w:r w:rsidR="00C4663D">
        <w:rPr>
          <w:rFonts w:asciiTheme="minorHAnsi" w:eastAsiaTheme="minorHAnsi" w:hAnsiTheme="minorHAnsi" w:cstheme="minorBidi"/>
          <w:sz w:val="22"/>
          <w:szCs w:val="22"/>
        </w:rPr>
        <w:t xml:space="preserve">6,915), </w:t>
      </w:r>
      <w:r w:rsidR="00FD67D0">
        <w:rPr>
          <w:rFonts w:asciiTheme="minorHAnsi" w:eastAsiaTheme="minorHAnsi" w:hAnsiTheme="minorHAnsi" w:cstheme="minorBidi"/>
          <w:sz w:val="22"/>
          <w:szCs w:val="22"/>
        </w:rPr>
        <w:t xml:space="preserve">Third in the number of Non-Residential buildings (830 structures), </w:t>
      </w:r>
      <w:r w:rsidR="00256B43">
        <w:rPr>
          <w:rFonts w:asciiTheme="minorHAnsi" w:eastAsiaTheme="minorHAnsi" w:hAnsiTheme="minorHAnsi" w:cstheme="minorBidi"/>
          <w:sz w:val="22"/>
          <w:szCs w:val="22"/>
        </w:rPr>
        <w:t xml:space="preserve">and </w:t>
      </w:r>
      <w:r w:rsidR="007458C3">
        <w:rPr>
          <w:rFonts w:asciiTheme="minorHAnsi" w:eastAsiaTheme="minorHAnsi" w:hAnsiTheme="minorHAnsi" w:cstheme="minorBidi"/>
          <w:sz w:val="22"/>
          <w:szCs w:val="22"/>
        </w:rPr>
        <w:t xml:space="preserve">Second in </w:t>
      </w:r>
      <w:r w:rsidR="00256B43">
        <w:rPr>
          <w:rFonts w:asciiTheme="minorHAnsi" w:eastAsiaTheme="minorHAnsi" w:hAnsiTheme="minorHAnsi" w:cstheme="minorBidi"/>
          <w:sz w:val="22"/>
          <w:szCs w:val="22"/>
        </w:rPr>
        <w:t xml:space="preserve">the </w:t>
      </w:r>
      <w:r w:rsidR="007458C3">
        <w:rPr>
          <w:rFonts w:asciiTheme="minorHAnsi" w:eastAsiaTheme="minorHAnsi" w:hAnsiTheme="minorHAnsi" w:cstheme="minorBidi"/>
          <w:sz w:val="22"/>
          <w:szCs w:val="22"/>
        </w:rPr>
        <w:t>number of mobile homes (2,445 mobile homes)</w:t>
      </w:r>
      <w:r w:rsidR="00256B43">
        <w:rPr>
          <w:rFonts w:asciiTheme="minorHAnsi" w:eastAsiaTheme="minorHAnsi" w:hAnsiTheme="minorHAnsi" w:cstheme="minorBidi"/>
          <w:sz w:val="22"/>
          <w:szCs w:val="22"/>
        </w:rPr>
        <w:t>.</w:t>
      </w:r>
      <w:r w:rsidR="00D308DD">
        <w:rPr>
          <w:rFonts w:asciiTheme="minorHAnsi" w:eastAsiaTheme="minorHAnsi" w:hAnsiTheme="minorHAnsi" w:cstheme="minorBidi"/>
          <w:sz w:val="22"/>
          <w:szCs w:val="22"/>
        </w:rPr>
        <w:t xml:space="preserve"> Also, this watershed has the maximum number of </w:t>
      </w:r>
      <w:r w:rsidR="000966BE">
        <w:rPr>
          <w:rFonts w:asciiTheme="minorHAnsi" w:eastAsiaTheme="minorHAnsi" w:hAnsiTheme="minorHAnsi" w:cstheme="minorBidi"/>
          <w:sz w:val="22"/>
          <w:szCs w:val="22"/>
        </w:rPr>
        <w:t>p</w:t>
      </w:r>
      <w:r w:rsidR="00D308DD">
        <w:rPr>
          <w:rFonts w:asciiTheme="minorHAnsi" w:eastAsiaTheme="minorHAnsi" w:hAnsiTheme="minorHAnsi" w:cstheme="minorBidi"/>
          <w:sz w:val="22"/>
          <w:szCs w:val="22"/>
        </w:rPr>
        <w:t>ost-Firm Structures (2,190).</w:t>
      </w:r>
    </w:p>
    <w:p w14:paraId="3EB2F677" w14:textId="0C6360BA" w:rsidR="00EB67F1" w:rsidRPr="00A430C0" w:rsidRDefault="008D2FED" w:rsidP="008D2FED">
      <w:pPr>
        <w:pStyle w:val="Caption"/>
        <w:jc w:val="center"/>
        <w:rPr>
          <w:i w:val="0"/>
          <w:iCs w:val="0"/>
          <w:color w:val="auto"/>
          <w:sz w:val="22"/>
          <w:szCs w:val="22"/>
        </w:rPr>
      </w:pPr>
      <w:r w:rsidRPr="00A430C0">
        <w:rPr>
          <w:b/>
          <w:bCs/>
          <w:i w:val="0"/>
          <w:iCs w:val="0"/>
          <w:color w:val="auto"/>
        </w:rPr>
        <w:t xml:space="preserve">Figure </w:t>
      </w:r>
      <w:r w:rsidRPr="00A430C0">
        <w:rPr>
          <w:b/>
          <w:bCs/>
          <w:i w:val="0"/>
          <w:iCs w:val="0"/>
          <w:color w:val="auto"/>
        </w:rPr>
        <w:fldChar w:fldCharType="begin"/>
      </w:r>
      <w:r w:rsidRPr="00A430C0">
        <w:rPr>
          <w:b/>
          <w:bCs/>
          <w:i w:val="0"/>
          <w:iCs w:val="0"/>
          <w:color w:val="auto"/>
        </w:rPr>
        <w:instrText xml:space="preserve"> SEQ Figure \* ARABIC </w:instrText>
      </w:r>
      <w:r w:rsidRPr="00A430C0">
        <w:rPr>
          <w:b/>
          <w:bCs/>
          <w:i w:val="0"/>
          <w:iCs w:val="0"/>
          <w:color w:val="auto"/>
        </w:rPr>
        <w:fldChar w:fldCharType="separate"/>
      </w:r>
      <w:r w:rsidR="00CB2916" w:rsidRPr="00A430C0">
        <w:rPr>
          <w:b/>
          <w:bCs/>
          <w:i w:val="0"/>
          <w:iCs w:val="0"/>
          <w:noProof/>
          <w:color w:val="auto"/>
        </w:rPr>
        <w:t>2</w:t>
      </w:r>
      <w:r w:rsidRPr="00A430C0">
        <w:rPr>
          <w:b/>
          <w:bCs/>
          <w:i w:val="0"/>
          <w:iCs w:val="0"/>
          <w:color w:val="auto"/>
        </w:rPr>
        <w:fldChar w:fldCharType="end"/>
      </w:r>
      <w:r w:rsidRPr="00A430C0">
        <w:rPr>
          <w:b/>
          <w:bCs/>
          <w:i w:val="0"/>
          <w:iCs w:val="0"/>
          <w:color w:val="auto"/>
        </w:rPr>
        <w:t>.</w:t>
      </w:r>
      <w:r w:rsidR="00A05EFA" w:rsidRPr="00A430C0">
        <w:rPr>
          <w:i w:val="0"/>
          <w:iCs w:val="0"/>
          <w:color w:val="auto"/>
        </w:rPr>
        <w:t xml:space="preserve"> </w:t>
      </w:r>
      <w:r w:rsidRPr="00A430C0">
        <w:rPr>
          <w:i w:val="0"/>
          <w:iCs w:val="0"/>
          <w:color w:val="auto"/>
        </w:rPr>
        <w:t>Number of Structures in WV Watersheds</w:t>
      </w:r>
    </w:p>
    <w:p w14:paraId="0657B404" w14:textId="08F52983" w:rsidR="002100B1" w:rsidRPr="002100B1" w:rsidRDefault="002100B1" w:rsidP="002100B1">
      <w:pPr>
        <w:rPr>
          <w:b/>
          <w:bCs/>
          <w:i/>
          <w:iCs/>
        </w:rPr>
      </w:pPr>
      <w:r w:rsidRPr="002100B1">
        <w:rPr>
          <w:b/>
          <w:bCs/>
          <w:i/>
          <w:iCs/>
        </w:rPr>
        <w:lastRenderedPageBreak/>
        <w:t xml:space="preserve">Buildings in </w:t>
      </w:r>
      <w:proofErr w:type="spellStart"/>
      <w:r w:rsidRPr="002100B1">
        <w:rPr>
          <w:b/>
          <w:bCs/>
          <w:i/>
          <w:iCs/>
        </w:rPr>
        <w:t>Floodway</w:t>
      </w:r>
      <w:r w:rsidR="008600A2">
        <w:rPr>
          <w:b/>
          <w:bCs/>
          <w:i/>
          <w:iCs/>
        </w:rPr>
        <w:t>arc</w:t>
      </w:r>
      <w:proofErr w:type="spellEnd"/>
    </w:p>
    <w:p w14:paraId="6DA1A756" w14:textId="595C000B" w:rsidR="002100B1" w:rsidRDefault="002100B1" w:rsidP="002100B1">
      <w:r w:rsidRPr="00661B15">
        <w:t>Buildings in the main floodway channel of the river or stream, or close to the flood source, will be subject to the greatest flood depths, highest velocities, and greatest debris potential.</w:t>
      </w:r>
      <w:r>
        <w:t xml:space="preserve"> </w:t>
      </w:r>
      <w:r w:rsidRPr="00661B15">
        <w:t xml:space="preserve">In the floodways statewide, there are a total of 8,272 primary buildings located. The Upper Guyandotte Watershed has the highest number, with 1,263 structures situated in these areas. </w:t>
      </w:r>
      <w:r>
        <w:t>T</w:t>
      </w:r>
      <w:r w:rsidRPr="00661B15">
        <w:t>he Tug and Upper Kanawha watersheds rank second and third, with 992 and 785 buildings located in floodways, respectively.</w:t>
      </w:r>
    </w:p>
    <w:p w14:paraId="2F7AD8E5" w14:textId="77777777" w:rsidR="009A3D55" w:rsidRPr="009A3D55" w:rsidRDefault="009A3D55" w:rsidP="009A3D55">
      <w:pPr>
        <w:rPr>
          <w:b/>
          <w:bCs/>
          <w:i/>
          <w:iCs/>
        </w:rPr>
      </w:pPr>
      <w:r w:rsidRPr="009A3D55">
        <w:rPr>
          <w:b/>
          <w:bCs/>
          <w:i/>
          <w:iCs/>
        </w:rPr>
        <w:t>Future Map Conditions</w:t>
      </w:r>
    </w:p>
    <w:p w14:paraId="16DF836A" w14:textId="77777777" w:rsidR="009A3D55" w:rsidRDefault="009A3D55" w:rsidP="009A3D55">
      <w:r>
        <w:t>According to the future flood maps, when they become effective, a total of 13,668 buildings will be mapped in high-risk floodplains statewide. Among all watersheds, the Tug Watershed will have the highest number of mapped-in structures, with 1,649 buildings. It is closely followed by the Lower Kanawha Watershed with 1,587 structures, and the Upper Guyandotte Watershed with 1,513 buildings.</w:t>
      </w:r>
    </w:p>
    <w:p w14:paraId="17C13228" w14:textId="77777777" w:rsidR="009A3D55" w:rsidRDefault="009A3D55" w:rsidP="009A3D55">
      <w:r>
        <w:t>On the other hand, when the advisory floodplains become effective, a total of 14,985 structures will be mapped out statewide. The Lower Kanawha watershed will have the highest number of mapped-out buildings, with 1,383 structures. The Coal and Elk watersheds rank second and third, with 1,365 and 1,042 mapped-out buildings, respectively.</w:t>
      </w:r>
    </w:p>
    <w:p w14:paraId="7ED809B4" w14:textId="77777777" w:rsidR="009A3D55" w:rsidRDefault="009A3D55" w:rsidP="002100B1">
      <w:pPr>
        <w:rPr>
          <w:b/>
          <w:bCs/>
        </w:rPr>
      </w:pPr>
    </w:p>
    <w:p w14:paraId="044A5DF6" w14:textId="77777777" w:rsidR="006332DE" w:rsidRPr="006332DE" w:rsidRDefault="006332DE" w:rsidP="006332DE">
      <w:pPr>
        <w:rPr>
          <w:b/>
          <w:bCs/>
          <w:i/>
          <w:iCs/>
        </w:rPr>
      </w:pPr>
      <w:bookmarkStart w:id="0" w:name="_Toc114656888"/>
      <w:r w:rsidRPr="006332DE">
        <w:rPr>
          <w:b/>
          <w:bCs/>
          <w:i/>
          <w:iCs/>
        </w:rPr>
        <w:t>Critical Structures</w:t>
      </w:r>
    </w:p>
    <w:p w14:paraId="340350B4" w14:textId="77777777" w:rsidR="006332DE" w:rsidRPr="00263E14" w:rsidRDefault="006332DE" w:rsidP="006332DE">
      <w:pPr>
        <w:spacing w:after="0"/>
        <w:ind w:left="360"/>
        <w:rPr>
          <w:b/>
          <w:bCs/>
          <w:i/>
          <w:iCs/>
        </w:rPr>
      </w:pPr>
      <w:r w:rsidRPr="00263E14">
        <w:rPr>
          <w:b/>
          <w:bCs/>
          <w:i/>
          <w:iCs/>
        </w:rPr>
        <w:t>Essential Facilities</w:t>
      </w:r>
      <w:bookmarkEnd w:id="0"/>
    </w:p>
    <w:p w14:paraId="7E3BD4EA" w14:textId="77777777" w:rsidR="006332DE" w:rsidRDefault="006332DE" w:rsidP="006332DE">
      <w:r w:rsidRPr="007176CA">
        <w:t>Essential facilities provide critical services to the community and include police and fire stations, E-911 emergency operations centers, schools (often used as shelters), hospitals, and nursing homes.</w:t>
      </w:r>
    </w:p>
    <w:p w14:paraId="586418CE" w14:textId="77777777" w:rsidR="006332DE" w:rsidRDefault="006332DE" w:rsidP="006332DE">
      <w:r>
        <w:t xml:space="preserve">A total of 493 essential facilities are exposed to flood risk within all watersheds statewide. </w:t>
      </w:r>
      <w:r w:rsidRPr="00624D2C">
        <w:t>Among them, the Upper Kanawha and Tug watersheds have the highest number, with 53 essential facilities exposed to 100- or 500-year floods. Following closely behind is the Lower Kanawha Watershed, which has 43 at-risk structures facing the same flood risks.</w:t>
      </w:r>
    </w:p>
    <w:p w14:paraId="13188429" w14:textId="77777777" w:rsidR="006332DE" w:rsidRDefault="006332DE" w:rsidP="006332DE">
      <w:pPr>
        <w:spacing w:after="0"/>
        <w:ind w:left="360"/>
        <w:rPr>
          <w:b/>
          <w:bCs/>
          <w:i/>
          <w:iCs/>
        </w:rPr>
      </w:pPr>
      <w:r>
        <w:rPr>
          <w:b/>
          <w:bCs/>
          <w:i/>
          <w:iCs/>
        </w:rPr>
        <w:t xml:space="preserve">Non-historical </w:t>
      </w:r>
      <w:r w:rsidRPr="00FB5136">
        <w:rPr>
          <w:b/>
          <w:bCs/>
          <w:i/>
          <w:iCs/>
        </w:rPr>
        <w:t>Community Assets</w:t>
      </w:r>
    </w:p>
    <w:p w14:paraId="2E92CCE5" w14:textId="77777777" w:rsidR="006332DE" w:rsidRDefault="006332DE" w:rsidP="006332DE">
      <w:r w:rsidRPr="00FB5136">
        <w:t xml:space="preserve">Non-historical </w:t>
      </w:r>
      <w:r>
        <w:t>c</w:t>
      </w:r>
      <w:r w:rsidRPr="00FB5136">
        <w:t>ommunity assets are government facilities (federal, state, local), emergency medical services (EMS), religious organizations, utilities, postsecondary educational facilities, or other buildings of significance that contribute to the built environment of community.</w:t>
      </w:r>
    </w:p>
    <w:p w14:paraId="50CB4947" w14:textId="40F942CA" w:rsidR="006332DE" w:rsidRDefault="006332DE" w:rsidP="006332DE">
      <w:r w:rsidRPr="008005F6">
        <w:t xml:space="preserve">In all watersheds across the state, a total of 2,139 community assets (excluding historical ones) were identified within the 1%-annual-chance floodplain. The Upper Guyandotte Watershed </w:t>
      </w:r>
      <w:r>
        <w:t>has</w:t>
      </w:r>
      <w:r w:rsidRPr="008005F6">
        <w:t xml:space="preserve"> the highest number of at-risk community assets with 196 structures located in the floodplain. Following are the Tug and Coal watersheds ranking second and third with 191 and 176 at-risk community assets, respectively.</w:t>
      </w:r>
    </w:p>
    <w:p w14:paraId="358417B9" w14:textId="393178BC" w:rsidR="009A3D55" w:rsidRDefault="009A3D55" w:rsidP="006332DE">
      <w:pPr>
        <w:rPr>
          <w:b/>
          <w:bCs/>
          <w:color w:val="2F5496" w:themeColor="accent1" w:themeShade="BF"/>
          <w:sz w:val="24"/>
          <w:szCs w:val="24"/>
        </w:rPr>
      </w:pPr>
    </w:p>
    <w:p w14:paraId="39F1A302" w14:textId="06074DFC" w:rsidR="00D641E5" w:rsidRDefault="00D641E5" w:rsidP="006332DE">
      <w:pPr>
        <w:rPr>
          <w:b/>
          <w:bCs/>
          <w:color w:val="2F5496" w:themeColor="accent1" w:themeShade="BF"/>
          <w:sz w:val="24"/>
          <w:szCs w:val="24"/>
        </w:rPr>
      </w:pPr>
    </w:p>
    <w:p w14:paraId="6147703F" w14:textId="0CAA0778" w:rsidR="00D641E5" w:rsidRDefault="00D641E5" w:rsidP="006332DE">
      <w:pPr>
        <w:rPr>
          <w:b/>
          <w:bCs/>
          <w:color w:val="2F5496" w:themeColor="accent1" w:themeShade="BF"/>
          <w:sz w:val="24"/>
          <w:szCs w:val="24"/>
        </w:rPr>
      </w:pPr>
    </w:p>
    <w:p w14:paraId="71ED2D41" w14:textId="77777777" w:rsidR="00D641E5" w:rsidRPr="00D641E5" w:rsidRDefault="00D641E5" w:rsidP="006332DE">
      <w:pPr>
        <w:rPr>
          <w:b/>
          <w:bCs/>
          <w:color w:val="2F5496" w:themeColor="accent1" w:themeShade="BF"/>
          <w:sz w:val="24"/>
          <w:szCs w:val="24"/>
        </w:rPr>
      </w:pPr>
    </w:p>
    <w:p w14:paraId="518CE511" w14:textId="7F2276B5" w:rsidR="00D641E5" w:rsidRPr="00D641E5" w:rsidRDefault="00D641E5" w:rsidP="00D641E5">
      <w:pPr>
        <w:pStyle w:val="ListParagraph"/>
        <w:numPr>
          <w:ilvl w:val="0"/>
          <w:numId w:val="3"/>
        </w:numPr>
        <w:ind w:left="180" w:hanging="180"/>
        <w:rPr>
          <w:b/>
          <w:bCs/>
          <w:color w:val="2F5496" w:themeColor="accent1" w:themeShade="BF"/>
          <w:sz w:val="24"/>
          <w:szCs w:val="24"/>
        </w:rPr>
      </w:pPr>
      <w:r w:rsidRPr="00D641E5">
        <w:rPr>
          <w:b/>
          <w:bCs/>
          <w:color w:val="2F5496" w:themeColor="accent1" w:themeShade="BF"/>
          <w:sz w:val="24"/>
          <w:szCs w:val="24"/>
        </w:rPr>
        <w:lastRenderedPageBreak/>
        <w:t>Flood Loss</w:t>
      </w:r>
    </w:p>
    <w:p w14:paraId="4C0837F5" w14:textId="1A51DCB6" w:rsidR="009A3D55" w:rsidRDefault="009A3D55" w:rsidP="009A3D55">
      <w:pPr>
        <w:rPr>
          <w:b/>
          <w:bCs/>
        </w:rPr>
      </w:pPr>
      <w:r w:rsidRPr="00FC369C">
        <w:rPr>
          <w:b/>
          <w:bCs/>
        </w:rPr>
        <w:t>Building Damage</w:t>
      </w:r>
      <w:r>
        <w:rPr>
          <w:b/>
          <w:bCs/>
        </w:rPr>
        <w:t xml:space="preserve"> Estimates</w:t>
      </w:r>
    </w:p>
    <w:p w14:paraId="7257A085" w14:textId="77777777" w:rsidR="009A3D55" w:rsidRDefault="009A3D55" w:rsidP="009A3D55">
      <w:r w:rsidRPr="00811C6E">
        <w:t xml:space="preserve">The Hazus flood loss model for a 1%-annual-chance flood event for </w:t>
      </w:r>
      <w:r>
        <w:t>the state</w:t>
      </w:r>
      <w:r w:rsidRPr="00811C6E">
        <w:t xml:space="preserve"> reveals the</w:t>
      </w:r>
      <w:r>
        <w:t xml:space="preserve"> total estimated building loss as $</w:t>
      </w:r>
      <w:r w:rsidRPr="00A67216">
        <w:t>853</w:t>
      </w:r>
      <w:r>
        <w:t>.</w:t>
      </w:r>
      <w:r w:rsidRPr="00A67216">
        <w:t>8</w:t>
      </w:r>
      <w:r>
        <w:t xml:space="preserve"> million. The </w:t>
      </w:r>
      <w:r w:rsidRPr="005F60E0">
        <w:t>Upper Monongahela</w:t>
      </w:r>
      <w:r>
        <w:t xml:space="preserve"> Watershed has a considerably higher building loss amounting to $229.8 million. The </w:t>
      </w:r>
      <w:r w:rsidRPr="005F60E0">
        <w:t>Upper Ohio-Wheeling and Lower Kanawha watersheds rank second and third, with building losses of $63.4 million and $54.0 million, respectively.</w:t>
      </w:r>
      <w:r>
        <w:t xml:space="preserve"> </w:t>
      </w:r>
    </w:p>
    <w:p w14:paraId="26B60B73" w14:textId="77777777" w:rsidR="009A3D55" w:rsidRDefault="009A3D55" w:rsidP="009A3D55">
      <w:r>
        <w:t xml:space="preserve">The higher mean building loss value of $109K was observed in the </w:t>
      </w:r>
      <w:r w:rsidRPr="005F60E0">
        <w:t>Upper Monongahela</w:t>
      </w:r>
      <w:r>
        <w:t xml:space="preserve"> Watershed. </w:t>
      </w:r>
      <w:r w:rsidRPr="003527FC">
        <w:t>Following this</w:t>
      </w:r>
      <w:r>
        <w:t xml:space="preserve">, in the </w:t>
      </w:r>
      <w:r w:rsidRPr="003527FC">
        <w:t>Shenandoah</w:t>
      </w:r>
      <w:r>
        <w:t xml:space="preserve"> and </w:t>
      </w:r>
      <w:r w:rsidRPr="003527FC">
        <w:t>Cheat</w:t>
      </w:r>
      <w:r>
        <w:t xml:space="preserve"> watersheds the mean loss is $22K and $21K, respectively.</w:t>
      </w:r>
    </w:p>
    <w:p w14:paraId="30E1FB71" w14:textId="3DDF4E9D" w:rsidR="009A3D55" w:rsidRDefault="009A3D55" w:rsidP="009A3D55">
      <w:r w:rsidRPr="00BD3928">
        <w:t>Damage of any origin sustained by a structure whereby the cost of restoring the structure to its before damaged condition would equal or exceed 50 percent of the market value of the structure before the damage occurred</w:t>
      </w:r>
      <w:r>
        <w:t xml:space="preserve"> is known as substantial damage. In total, 6,644 structures are estimated to experience substantial damage by a </w:t>
      </w:r>
      <w:r w:rsidRPr="00811C6E">
        <w:t>1%-annual-chance flood event</w:t>
      </w:r>
      <w:r>
        <w:t xml:space="preserve"> in the state. The highest number of the estimated substantially damaged structures can be observed in the Coal Watershed (n=746) followed by the Tug (n=460) and Lower Kanawha (n=456) watersheds.</w:t>
      </w:r>
    </w:p>
    <w:p w14:paraId="3AD7A4BE" w14:textId="77777777" w:rsidR="000B1174" w:rsidRDefault="000B1174" w:rsidP="009A3D55"/>
    <w:p w14:paraId="4F0ACBC6" w14:textId="77777777" w:rsidR="009A3D55" w:rsidRDefault="009A3D55" w:rsidP="009A3D55">
      <w:pPr>
        <w:rPr>
          <w:b/>
          <w:bCs/>
        </w:rPr>
      </w:pPr>
      <w:r w:rsidRPr="002D26A0">
        <w:rPr>
          <w:b/>
          <w:bCs/>
        </w:rPr>
        <w:t>Building Debris Removal Estimates</w:t>
      </w:r>
    </w:p>
    <w:p w14:paraId="6C3857B9" w14:textId="7604638A" w:rsidR="009A3D55" w:rsidRDefault="009A3D55" w:rsidP="00D93424">
      <w:r w:rsidRPr="002D26A0">
        <w:t>Building debris removal estimates are computed at the building level for a 1%-annual-chance flood event using FEMA</w:t>
      </w:r>
      <w:r w:rsidR="00D93424">
        <w:t>'</w:t>
      </w:r>
      <w:r w:rsidRPr="002D26A0">
        <w:t xml:space="preserve">s Hazus flood model methodology. The model calculate only debris from the structure and </w:t>
      </w:r>
      <w:proofErr w:type="spellStart"/>
      <w:r w:rsidRPr="002D26A0">
        <w:t>not</w:t>
      </w:r>
      <w:proofErr w:type="spellEnd"/>
      <w:r w:rsidRPr="002D26A0">
        <w:t xml:space="preserve"> other types of debris (e.g., woody debris, sediment, content of buildings, etc.).</w:t>
      </w:r>
    </w:p>
    <w:p w14:paraId="488A4A85" w14:textId="77777777" w:rsidR="009A3D55" w:rsidRDefault="009A3D55" w:rsidP="009A3D55">
      <w:r>
        <w:t xml:space="preserve">The watershed-level report shows total tonnage of building debris that will be generated from a riverine 1%-annual-chance flood event for the state is 513,284 tons. The estimated debris tonnage is significantly higher in the </w:t>
      </w:r>
      <w:r w:rsidRPr="006D7FEB">
        <w:t>Upper Ohio-Wheeling</w:t>
      </w:r>
      <w:r>
        <w:t xml:space="preserve"> Watershed with </w:t>
      </w:r>
      <w:r w:rsidRPr="006D7FEB">
        <w:t>93</w:t>
      </w:r>
      <w:r>
        <w:t>,</w:t>
      </w:r>
      <w:r w:rsidRPr="006D7FEB">
        <w:t>105</w:t>
      </w:r>
      <w:r>
        <w:t xml:space="preserve"> tons. The </w:t>
      </w:r>
      <w:r w:rsidRPr="006D7FEB">
        <w:t>Lower Kanawha</w:t>
      </w:r>
      <w:r>
        <w:t xml:space="preserve"> and Coal watersheds rank second and third with </w:t>
      </w:r>
      <w:r w:rsidRPr="006D7FEB">
        <w:t>38</w:t>
      </w:r>
      <w:r>
        <w:t>,</w:t>
      </w:r>
      <w:r w:rsidRPr="006D7FEB">
        <w:t>90</w:t>
      </w:r>
      <w:r>
        <w:t xml:space="preserve">1 and </w:t>
      </w:r>
      <w:r w:rsidRPr="006D7FEB">
        <w:t>36</w:t>
      </w:r>
      <w:r>
        <w:t>,</w:t>
      </w:r>
      <w:r w:rsidRPr="006D7FEB">
        <w:t>539</w:t>
      </w:r>
      <w:r>
        <w:t xml:space="preserve"> tons, respectively. Additionally, the top ten watersheds based on the mean tonnage of debris are the </w:t>
      </w:r>
      <w:r w:rsidRPr="003F2816">
        <w:t>Shenandoah</w:t>
      </w:r>
      <w:r>
        <w:t xml:space="preserve">, </w:t>
      </w:r>
      <w:r w:rsidRPr="003F2816">
        <w:t>Upper Ohio-Wheeling</w:t>
      </w:r>
      <w:r>
        <w:t xml:space="preserve">, and </w:t>
      </w:r>
      <w:r w:rsidRPr="003F2816">
        <w:t>Upper Ohio-Shade</w:t>
      </w:r>
      <w:r>
        <w:t xml:space="preserve"> watersheds with 74.1, 33.7, and 28.6 tons, respectively.</w:t>
      </w:r>
    </w:p>
    <w:p w14:paraId="5C97CA17" w14:textId="77777777" w:rsidR="009A3D55" w:rsidRDefault="009A3D55" w:rsidP="009A3D55"/>
    <w:p w14:paraId="570EDEA1" w14:textId="77777777" w:rsidR="006332DE" w:rsidRDefault="006332DE" w:rsidP="006332DE"/>
    <w:p w14:paraId="1CED3FC0" w14:textId="12486A77" w:rsidR="00E91D61" w:rsidRPr="00E91D61" w:rsidRDefault="00E91D61" w:rsidP="00D273B4"/>
    <w:sectPr w:rsidR="00E91D61" w:rsidRPr="00E91D61" w:rsidSect="00D61C50">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4165" w14:textId="77777777" w:rsidR="0032293C" w:rsidRDefault="0032293C" w:rsidP="0032293C">
      <w:pPr>
        <w:spacing w:after="0" w:line="240" w:lineRule="auto"/>
      </w:pPr>
      <w:r>
        <w:separator/>
      </w:r>
    </w:p>
  </w:endnote>
  <w:endnote w:type="continuationSeparator" w:id="0">
    <w:p w14:paraId="69107003" w14:textId="77777777" w:rsidR="0032293C" w:rsidRDefault="0032293C" w:rsidP="0032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CD3" w14:textId="2CBFDB18" w:rsidR="00733332" w:rsidRDefault="00733332">
    <w:pPr>
      <w:pStyle w:val="Footer"/>
      <w:jc w:val="center"/>
    </w:pPr>
  </w:p>
  <w:p w14:paraId="75B4402A" w14:textId="77777777" w:rsidR="00733332" w:rsidRDefault="00733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408678"/>
      <w:docPartObj>
        <w:docPartGallery w:val="Page Numbers (Bottom of Page)"/>
        <w:docPartUnique/>
      </w:docPartObj>
    </w:sdtPr>
    <w:sdtEndPr>
      <w:rPr>
        <w:noProof/>
      </w:rPr>
    </w:sdtEndPr>
    <w:sdtContent>
      <w:p w14:paraId="767F8363" w14:textId="77777777" w:rsidR="00D61C50" w:rsidRDefault="00D61C50">
        <w:pPr>
          <w:pStyle w:val="Footer"/>
          <w:jc w:val="center"/>
        </w:pPr>
        <w:r w:rsidRPr="00733332">
          <w:rPr>
            <w:sz w:val="20"/>
            <w:szCs w:val="20"/>
          </w:rPr>
          <w:fldChar w:fldCharType="begin"/>
        </w:r>
        <w:r w:rsidRPr="00733332">
          <w:rPr>
            <w:sz w:val="20"/>
            <w:szCs w:val="20"/>
          </w:rPr>
          <w:instrText xml:space="preserve"> PAGE   \* MERGEFORMAT </w:instrText>
        </w:r>
        <w:r w:rsidRPr="00733332">
          <w:rPr>
            <w:sz w:val="20"/>
            <w:szCs w:val="20"/>
          </w:rPr>
          <w:fldChar w:fldCharType="separate"/>
        </w:r>
        <w:r>
          <w:rPr>
            <w:noProof/>
            <w:sz w:val="20"/>
            <w:szCs w:val="20"/>
          </w:rPr>
          <w:t>7</w:t>
        </w:r>
        <w:r w:rsidRPr="00733332">
          <w:rPr>
            <w:noProof/>
            <w:sz w:val="20"/>
            <w:szCs w:val="20"/>
          </w:rPr>
          <w:fldChar w:fldCharType="end"/>
        </w:r>
      </w:p>
    </w:sdtContent>
  </w:sdt>
  <w:p w14:paraId="14E05112" w14:textId="77777777" w:rsidR="00D61C50" w:rsidRDefault="00D61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39B6" w14:textId="77777777" w:rsidR="0032293C" w:rsidRDefault="0032293C" w:rsidP="0032293C">
      <w:pPr>
        <w:spacing w:after="0" w:line="240" w:lineRule="auto"/>
      </w:pPr>
      <w:r>
        <w:separator/>
      </w:r>
    </w:p>
  </w:footnote>
  <w:footnote w:type="continuationSeparator" w:id="0">
    <w:p w14:paraId="2AB92E31" w14:textId="77777777" w:rsidR="0032293C" w:rsidRDefault="0032293C" w:rsidP="0032293C">
      <w:pPr>
        <w:spacing w:after="0" w:line="240" w:lineRule="auto"/>
      </w:pPr>
      <w:r>
        <w:continuationSeparator/>
      </w:r>
    </w:p>
  </w:footnote>
  <w:footnote w:id="1">
    <w:p w14:paraId="5E514717" w14:textId="1F96C0AF" w:rsidR="0032293C" w:rsidRDefault="0032293C" w:rsidP="009265C5">
      <w:pPr>
        <w:pStyle w:val="FootnoteText"/>
        <w:spacing w:line="276" w:lineRule="auto"/>
      </w:pPr>
      <w:r>
        <w:rPr>
          <w:rStyle w:val="FootnoteReference"/>
        </w:rPr>
        <w:footnoteRef/>
      </w:r>
      <w:r>
        <w:t xml:space="preserve"> </w:t>
      </w:r>
      <w:r w:rsidR="00155E81" w:rsidRPr="00280AB3">
        <w:rPr>
          <w:sz w:val="18"/>
          <w:szCs w:val="18"/>
        </w:rPr>
        <w:t>Excluding Youghiogheny, Upper James, and Big Sandy</w:t>
      </w:r>
      <w:r w:rsidR="00280AB3" w:rsidRPr="00280AB3">
        <w:rPr>
          <w:sz w:val="18"/>
          <w:szCs w:val="18"/>
        </w:rPr>
        <w:t xml:space="preserve"> in analysis</w:t>
      </w:r>
      <w:r w:rsidR="00155E81" w:rsidRPr="00280AB3">
        <w:rPr>
          <w:sz w:val="18"/>
          <w:szCs w:val="18"/>
        </w:rPr>
        <w:t xml:space="preserve">, since the number of buildings in these three watersheds are very low (6, 54, and 154); </w:t>
      </w:r>
      <w:proofErr w:type="gramStart"/>
      <w:r w:rsidR="00155E81" w:rsidRPr="00280AB3">
        <w:rPr>
          <w:sz w:val="18"/>
          <w:szCs w:val="18"/>
        </w:rPr>
        <w:t>thus</w:t>
      </w:r>
      <w:proofErr w:type="gramEnd"/>
      <w:r w:rsidR="00155E81" w:rsidRPr="00280AB3">
        <w:rPr>
          <w:sz w:val="18"/>
          <w:szCs w:val="18"/>
        </w:rPr>
        <w:t xml:space="preserve"> the </w:t>
      </w:r>
      <w:r w:rsidR="00280AB3" w:rsidRPr="00280AB3">
        <w:rPr>
          <w:sz w:val="18"/>
          <w:szCs w:val="18"/>
        </w:rPr>
        <w:t xml:space="preserve">high percentage of residential </w:t>
      </w:r>
      <w:r w:rsidR="00280AB3" w:rsidRPr="00032F1C">
        <w:rPr>
          <w:sz w:val="18"/>
          <w:szCs w:val="18"/>
        </w:rPr>
        <w:t xml:space="preserve">concentration </w:t>
      </w:r>
      <w:r w:rsidR="00280AB3" w:rsidRPr="00280AB3">
        <w:rPr>
          <w:sz w:val="18"/>
          <w:szCs w:val="18"/>
        </w:rPr>
        <w:t>becomes more apparent.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D13"/>
    <w:multiLevelType w:val="hybridMultilevel"/>
    <w:tmpl w:val="CEAC4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16DF"/>
    <w:multiLevelType w:val="hybridMultilevel"/>
    <w:tmpl w:val="4454B7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199A"/>
    <w:multiLevelType w:val="hybridMultilevel"/>
    <w:tmpl w:val="FC9A54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91923"/>
    <w:multiLevelType w:val="hybridMultilevel"/>
    <w:tmpl w:val="278ED2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3MDU3MzY2MjMzNTJR0lEKTi0uzszPAykwrQUAyiIOyCwAAAA="/>
  </w:docVars>
  <w:rsids>
    <w:rsidRoot w:val="00ED45CC"/>
    <w:rsid w:val="00006650"/>
    <w:rsid w:val="00012892"/>
    <w:rsid w:val="00025B55"/>
    <w:rsid w:val="00026881"/>
    <w:rsid w:val="00032F1C"/>
    <w:rsid w:val="00053540"/>
    <w:rsid w:val="000608E3"/>
    <w:rsid w:val="00065820"/>
    <w:rsid w:val="0009523A"/>
    <w:rsid w:val="000966BE"/>
    <w:rsid w:val="000A3DF0"/>
    <w:rsid w:val="000B015E"/>
    <w:rsid w:val="000B1174"/>
    <w:rsid w:val="000B5B6A"/>
    <w:rsid w:val="000F6C0B"/>
    <w:rsid w:val="001178E2"/>
    <w:rsid w:val="001246F1"/>
    <w:rsid w:val="00130969"/>
    <w:rsid w:val="00141321"/>
    <w:rsid w:val="00155E81"/>
    <w:rsid w:val="00184565"/>
    <w:rsid w:val="001A7926"/>
    <w:rsid w:val="001B0DD8"/>
    <w:rsid w:val="001E474C"/>
    <w:rsid w:val="001F5BC4"/>
    <w:rsid w:val="002100B1"/>
    <w:rsid w:val="00216D39"/>
    <w:rsid w:val="00241B30"/>
    <w:rsid w:val="00243C22"/>
    <w:rsid w:val="00256B43"/>
    <w:rsid w:val="00256C63"/>
    <w:rsid w:val="00260C5B"/>
    <w:rsid w:val="00263E14"/>
    <w:rsid w:val="002701E4"/>
    <w:rsid w:val="00272FF3"/>
    <w:rsid w:val="0027728A"/>
    <w:rsid w:val="00280AB3"/>
    <w:rsid w:val="00290E52"/>
    <w:rsid w:val="00292C23"/>
    <w:rsid w:val="002A334D"/>
    <w:rsid w:val="002B3EA1"/>
    <w:rsid w:val="002D31CC"/>
    <w:rsid w:val="0032293C"/>
    <w:rsid w:val="0033746E"/>
    <w:rsid w:val="003527FC"/>
    <w:rsid w:val="00377A78"/>
    <w:rsid w:val="00386308"/>
    <w:rsid w:val="00396529"/>
    <w:rsid w:val="003C7156"/>
    <w:rsid w:val="003F3929"/>
    <w:rsid w:val="00402014"/>
    <w:rsid w:val="00407075"/>
    <w:rsid w:val="00422B9E"/>
    <w:rsid w:val="004425E6"/>
    <w:rsid w:val="00462705"/>
    <w:rsid w:val="004665FE"/>
    <w:rsid w:val="0049133E"/>
    <w:rsid w:val="004A76BE"/>
    <w:rsid w:val="004B162C"/>
    <w:rsid w:val="004B6FAE"/>
    <w:rsid w:val="004C5BC2"/>
    <w:rsid w:val="005105F3"/>
    <w:rsid w:val="005165FF"/>
    <w:rsid w:val="0055689E"/>
    <w:rsid w:val="00580E92"/>
    <w:rsid w:val="005A27FC"/>
    <w:rsid w:val="005A5DC8"/>
    <w:rsid w:val="005B770E"/>
    <w:rsid w:val="005D653F"/>
    <w:rsid w:val="005F2200"/>
    <w:rsid w:val="005F3F26"/>
    <w:rsid w:val="005F60E0"/>
    <w:rsid w:val="00624D2C"/>
    <w:rsid w:val="006332DE"/>
    <w:rsid w:val="00637CF7"/>
    <w:rsid w:val="006419CA"/>
    <w:rsid w:val="0064551F"/>
    <w:rsid w:val="00655AEF"/>
    <w:rsid w:val="00655B99"/>
    <w:rsid w:val="0066594A"/>
    <w:rsid w:val="00675772"/>
    <w:rsid w:val="00675A62"/>
    <w:rsid w:val="006821F9"/>
    <w:rsid w:val="00691510"/>
    <w:rsid w:val="006B19B0"/>
    <w:rsid w:val="006B27DE"/>
    <w:rsid w:val="006E63DC"/>
    <w:rsid w:val="006F2679"/>
    <w:rsid w:val="007176CA"/>
    <w:rsid w:val="007262A3"/>
    <w:rsid w:val="00733332"/>
    <w:rsid w:val="0073472C"/>
    <w:rsid w:val="00736787"/>
    <w:rsid w:val="007414DC"/>
    <w:rsid w:val="007458C3"/>
    <w:rsid w:val="0076406E"/>
    <w:rsid w:val="00766BA7"/>
    <w:rsid w:val="00770053"/>
    <w:rsid w:val="00786B4E"/>
    <w:rsid w:val="007958D1"/>
    <w:rsid w:val="007A298C"/>
    <w:rsid w:val="007A4D55"/>
    <w:rsid w:val="007B63D1"/>
    <w:rsid w:val="007C20C0"/>
    <w:rsid w:val="007F1D28"/>
    <w:rsid w:val="008005F6"/>
    <w:rsid w:val="00803C98"/>
    <w:rsid w:val="00805750"/>
    <w:rsid w:val="0080585D"/>
    <w:rsid w:val="00807DB3"/>
    <w:rsid w:val="00811C6E"/>
    <w:rsid w:val="00815DF3"/>
    <w:rsid w:val="0081796E"/>
    <w:rsid w:val="00834D12"/>
    <w:rsid w:val="00844C73"/>
    <w:rsid w:val="00845F62"/>
    <w:rsid w:val="008474C9"/>
    <w:rsid w:val="008600A2"/>
    <w:rsid w:val="0086220D"/>
    <w:rsid w:val="008709EC"/>
    <w:rsid w:val="00883B45"/>
    <w:rsid w:val="00890F0A"/>
    <w:rsid w:val="008D2230"/>
    <w:rsid w:val="008D2FED"/>
    <w:rsid w:val="008D623D"/>
    <w:rsid w:val="008E2B28"/>
    <w:rsid w:val="008E4109"/>
    <w:rsid w:val="008F1B5A"/>
    <w:rsid w:val="008F67D8"/>
    <w:rsid w:val="0091208C"/>
    <w:rsid w:val="00914AE7"/>
    <w:rsid w:val="009265C5"/>
    <w:rsid w:val="00934C91"/>
    <w:rsid w:val="00943344"/>
    <w:rsid w:val="00957C19"/>
    <w:rsid w:val="009724AF"/>
    <w:rsid w:val="009814C8"/>
    <w:rsid w:val="00984FBB"/>
    <w:rsid w:val="0099236D"/>
    <w:rsid w:val="009A268A"/>
    <w:rsid w:val="009A3D55"/>
    <w:rsid w:val="009B503A"/>
    <w:rsid w:val="009D1E54"/>
    <w:rsid w:val="009E367E"/>
    <w:rsid w:val="009E3DBB"/>
    <w:rsid w:val="009E6D02"/>
    <w:rsid w:val="009F3046"/>
    <w:rsid w:val="00A017F3"/>
    <w:rsid w:val="00A05EFA"/>
    <w:rsid w:val="00A121B0"/>
    <w:rsid w:val="00A14EE9"/>
    <w:rsid w:val="00A23914"/>
    <w:rsid w:val="00A33A74"/>
    <w:rsid w:val="00A4033C"/>
    <w:rsid w:val="00A415FC"/>
    <w:rsid w:val="00A430C0"/>
    <w:rsid w:val="00A67216"/>
    <w:rsid w:val="00A929DA"/>
    <w:rsid w:val="00AB2B20"/>
    <w:rsid w:val="00AB31C0"/>
    <w:rsid w:val="00AB64A4"/>
    <w:rsid w:val="00AC49E8"/>
    <w:rsid w:val="00AC70EF"/>
    <w:rsid w:val="00AE050A"/>
    <w:rsid w:val="00AE0F57"/>
    <w:rsid w:val="00AE1BDC"/>
    <w:rsid w:val="00AF36B8"/>
    <w:rsid w:val="00B05E29"/>
    <w:rsid w:val="00B20691"/>
    <w:rsid w:val="00B31A5C"/>
    <w:rsid w:val="00B31D4E"/>
    <w:rsid w:val="00B41D20"/>
    <w:rsid w:val="00B41EA7"/>
    <w:rsid w:val="00B7383F"/>
    <w:rsid w:val="00B779FB"/>
    <w:rsid w:val="00B878EA"/>
    <w:rsid w:val="00B95ED7"/>
    <w:rsid w:val="00BC05FD"/>
    <w:rsid w:val="00BD3928"/>
    <w:rsid w:val="00BE3104"/>
    <w:rsid w:val="00BF0F19"/>
    <w:rsid w:val="00C10485"/>
    <w:rsid w:val="00C11A0A"/>
    <w:rsid w:val="00C20E5F"/>
    <w:rsid w:val="00C245C7"/>
    <w:rsid w:val="00C260BF"/>
    <w:rsid w:val="00C34AD3"/>
    <w:rsid w:val="00C4152F"/>
    <w:rsid w:val="00C43774"/>
    <w:rsid w:val="00C43EDA"/>
    <w:rsid w:val="00C4663D"/>
    <w:rsid w:val="00C87A3F"/>
    <w:rsid w:val="00C90120"/>
    <w:rsid w:val="00C979D3"/>
    <w:rsid w:val="00CA1FAF"/>
    <w:rsid w:val="00CB0C13"/>
    <w:rsid w:val="00CB2916"/>
    <w:rsid w:val="00CB6FC8"/>
    <w:rsid w:val="00CE0EBA"/>
    <w:rsid w:val="00D03C0D"/>
    <w:rsid w:val="00D05BAB"/>
    <w:rsid w:val="00D1074E"/>
    <w:rsid w:val="00D11913"/>
    <w:rsid w:val="00D13F70"/>
    <w:rsid w:val="00D25940"/>
    <w:rsid w:val="00D273B4"/>
    <w:rsid w:val="00D308DD"/>
    <w:rsid w:val="00D35DB4"/>
    <w:rsid w:val="00D44CCA"/>
    <w:rsid w:val="00D47F6C"/>
    <w:rsid w:val="00D61C50"/>
    <w:rsid w:val="00D641E5"/>
    <w:rsid w:val="00D81328"/>
    <w:rsid w:val="00D93424"/>
    <w:rsid w:val="00DA6D1B"/>
    <w:rsid w:val="00DB0D1E"/>
    <w:rsid w:val="00DE1F61"/>
    <w:rsid w:val="00E12CF1"/>
    <w:rsid w:val="00E34540"/>
    <w:rsid w:val="00E516D3"/>
    <w:rsid w:val="00E7391E"/>
    <w:rsid w:val="00E8448F"/>
    <w:rsid w:val="00E85CFF"/>
    <w:rsid w:val="00E91D61"/>
    <w:rsid w:val="00E95A7C"/>
    <w:rsid w:val="00E95F3E"/>
    <w:rsid w:val="00EB67F1"/>
    <w:rsid w:val="00ED45CC"/>
    <w:rsid w:val="00ED6725"/>
    <w:rsid w:val="00EE2D47"/>
    <w:rsid w:val="00EE5BE8"/>
    <w:rsid w:val="00F54C95"/>
    <w:rsid w:val="00F804A9"/>
    <w:rsid w:val="00F8253F"/>
    <w:rsid w:val="00F8774E"/>
    <w:rsid w:val="00F91614"/>
    <w:rsid w:val="00F97533"/>
    <w:rsid w:val="00FA166F"/>
    <w:rsid w:val="00FB5136"/>
    <w:rsid w:val="00FC369C"/>
    <w:rsid w:val="00FC3C5E"/>
    <w:rsid w:val="00FD6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7751"/>
  <w15:chartTrackingRefBased/>
  <w15:docId w15:val="{A89FEDF6-703A-43D9-96C5-6919DDA9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63E14"/>
    <w:pPr>
      <w:keepNext/>
      <w:keepLines/>
      <w:spacing w:before="40" w:after="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E14"/>
    <w:rPr>
      <w:rFonts w:asciiTheme="majorHAnsi" w:eastAsiaTheme="majorEastAsia" w:hAnsiTheme="majorHAnsi" w:cstheme="majorBidi"/>
      <w:b/>
      <w:sz w:val="28"/>
      <w:szCs w:val="26"/>
    </w:rPr>
  </w:style>
  <w:style w:type="table" w:styleId="PlainTable5">
    <w:name w:val="Plain Table 5"/>
    <w:basedOn w:val="TableNormal"/>
    <w:uiPriority w:val="45"/>
    <w:rsid w:val="00A33A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33A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33A7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
    <w:name w:val="Grid Table 2"/>
    <w:basedOn w:val="TableNormal"/>
    <w:uiPriority w:val="47"/>
    <w:rsid w:val="00A33A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A33A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A33A7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66594A"/>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55B99"/>
    <w:pPr>
      <w:spacing w:after="200" w:line="240" w:lineRule="auto"/>
    </w:pPr>
    <w:rPr>
      <w:i/>
      <w:iCs/>
      <w:color w:val="44546A" w:themeColor="text2"/>
      <w:sz w:val="18"/>
      <w:szCs w:val="18"/>
    </w:rPr>
  </w:style>
  <w:style w:type="table" w:styleId="GridTable5Dark-Accent5">
    <w:name w:val="Grid Table 5 Dark Accent 5"/>
    <w:basedOn w:val="TableNormal"/>
    <w:uiPriority w:val="50"/>
    <w:rsid w:val="00F916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1">
    <w:name w:val="Grid Table 6 Colorful Accent 1"/>
    <w:basedOn w:val="TableNormal"/>
    <w:uiPriority w:val="51"/>
    <w:rsid w:val="00F9161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6F267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3229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93C"/>
    <w:rPr>
      <w:sz w:val="20"/>
      <w:szCs w:val="20"/>
    </w:rPr>
  </w:style>
  <w:style w:type="character" w:styleId="FootnoteReference">
    <w:name w:val="footnote reference"/>
    <w:basedOn w:val="DefaultParagraphFont"/>
    <w:uiPriority w:val="99"/>
    <w:semiHidden/>
    <w:unhideWhenUsed/>
    <w:rsid w:val="0032293C"/>
    <w:rPr>
      <w:vertAlign w:val="superscript"/>
    </w:rPr>
  </w:style>
  <w:style w:type="character" w:styleId="Strong">
    <w:name w:val="Strong"/>
    <w:basedOn w:val="DefaultParagraphFont"/>
    <w:uiPriority w:val="22"/>
    <w:qFormat/>
    <w:rsid w:val="00280AB3"/>
    <w:rPr>
      <w:b/>
      <w:bCs/>
    </w:rPr>
  </w:style>
  <w:style w:type="paragraph" w:styleId="Header">
    <w:name w:val="header"/>
    <w:basedOn w:val="Normal"/>
    <w:link w:val="HeaderChar"/>
    <w:uiPriority w:val="99"/>
    <w:unhideWhenUsed/>
    <w:rsid w:val="00733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332"/>
  </w:style>
  <w:style w:type="paragraph" w:styleId="Footer">
    <w:name w:val="footer"/>
    <w:basedOn w:val="Normal"/>
    <w:link w:val="FooterChar"/>
    <w:uiPriority w:val="99"/>
    <w:unhideWhenUsed/>
    <w:rsid w:val="00733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32"/>
  </w:style>
  <w:style w:type="paragraph" w:styleId="ListParagraph">
    <w:name w:val="List Paragraph"/>
    <w:basedOn w:val="Normal"/>
    <w:uiPriority w:val="34"/>
    <w:qFormat/>
    <w:rsid w:val="00386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4370">
      <w:bodyDiv w:val="1"/>
      <w:marLeft w:val="0"/>
      <w:marRight w:val="0"/>
      <w:marTop w:val="0"/>
      <w:marBottom w:val="0"/>
      <w:divBdr>
        <w:top w:val="none" w:sz="0" w:space="0" w:color="auto"/>
        <w:left w:val="none" w:sz="0" w:space="0" w:color="auto"/>
        <w:bottom w:val="none" w:sz="0" w:space="0" w:color="auto"/>
        <w:right w:val="none" w:sz="0" w:space="0" w:color="auto"/>
      </w:divBdr>
      <w:divsChild>
        <w:div w:id="109512989">
          <w:marLeft w:val="0"/>
          <w:marRight w:val="0"/>
          <w:marTop w:val="0"/>
          <w:marBottom w:val="0"/>
          <w:divBdr>
            <w:top w:val="single" w:sz="2" w:space="0" w:color="auto"/>
            <w:left w:val="single" w:sz="2" w:space="0" w:color="auto"/>
            <w:bottom w:val="single" w:sz="6" w:space="0" w:color="auto"/>
            <w:right w:val="single" w:sz="2" w:space="0" w:color="auto"/>
          </w:divBdr>
          <w:divsChild>
            <w:div w:id="1043558495">
              <w:marLeft w:val="0"/>
              <w:marRight w:val="0"/>
              <w:marTop w:val="100"/>
              <w:marBottom w:val="100"/>
              <w:divBdr>
                <w:top w:val="single" w:sz="2" w:space="0" w:color="D9D9E3"/>
                <w:left w:val="single" w:sz="2" w:space="0" w:color="D9D9E3"/>
                <w:bottom w:val="single" w:sz="2" w:space="0" w:color="D9D9E3"/>
                <w:right w:val="single" w:sz="2" w:space="0" w:color="D9D9E3"/>
              </w:divBdr>
              <w:divsChild>
                <w:div w:id="785388994">
                  <w:marLeft w:val="0"/>
                  <w:marRight w:val="0"/>
                  <w:marTop w:val="0"/>
                  <w:marBottom w:val="0"/>
                  <w:divBdr>
                    <w:top w:val="single" w:sz="2" w:space="0" w:color="D9D9E3"/>
                    <w:left w:val="single" w:sz="2" w:space="0" w:color="D9D9E3"/>
                    <w:bottom w:val="single" w:sz="2" w:space="0" w:color="D9D9E3"/>
                    <w:right w:val="single" w:sz="2" w:space="0" w:color="D9D9E3"/>
                  </w:divBdr>
                  <w:divsChild>
                    <w:div w:id="661158878">
                      <w:marLeft w:val="0"/>
                      <w:marRight w:val="0"/>
                      <w:marTop w:val="0"/>
                      <w:marBottom w:val="0"/>
                      <w:divBdr>
                        <w:top w:val="single" w:sz="2" w:space="0" w:color="D9D9E3"/>
                        <w:left w:val="single" w:sz="2" w:space="0" w:color="D9D9E3"/>
                        <w:bottom w:val="single" w:sz="2" w:space="0" w:color="D9D9E3"/>
                        <w:right w:val="single" w:sz="2" w:space="0" w:color="D9D9E3"/>
                      </w:divBdr>
                      <w:divsChild>
                        <w:div w:id="1261060662">
                          <w:marLeft w:val="0"/>
                          <w:marRight w:val="0"/>
                          <w:marTop w:val="0"/>
                          <w:marBottom w:val="0"/>
                          <w:divBdr>
                            <w:top w:val="single" w:sz="2" w:space="0" w:color="D9D9E3"/>
                            <w:left w:val="single" w:sz="2" w:space="0" w:color="D9D9E3"/>
                            <w:bottom w:val="single" w:sz="2" w:space="0" w:color="D9D9E3"/>
                            <w:right w:val="single" w:sz="2" w:space="0" w:color="D9D9E3"/>
                          </w:divBdr>
                          <w:divsChild>
                            <w:div w:id="18048137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0562281">
      <w:bodyDiv w:val="1"/>
      <w:marLeft w:val="0"/>
      <w:marRight w:val="0"/>
      <w:marTop w:val="0"/>
      <w:marBottom w:val="0"/>
      <w:divBdr>
        <w:top w:val="none" w:sz="0" w:space="0" w:color="auto"/>
        <w:left w:val="none" w:sz="0" w:space="0" w:color="auto"/>
        <w:bottom w:val="none" w:sz="0" w:space="0" w:color="auto"/>
        <w:right w:val="none" w:sz="0" w:space="0" w:color="auto"/>
      </w:divBdr>
    </w:div>
    <w:div w:id="669522211">
      <w:bodyDiv w:val="1"/>
      <w:marLeft w:val="0"/>
      <w:marRight w:val="0"/>
      <w:marTop w:val="0"/>
      <w:marBottom w:val="0"/>
      <w:divBdr>
        <w:top w:val="none" w:sz="0" w:space="0" w:color="auto"/>
        <w:left w:val="none" w:sz="0" w:space="0" w:color="auto"/>
        <w:bottom w:val="none" w:sz="0" w:space="0" w:color="auto"/>
        <w:right w:val="none" w:sz="0" w:space="0" w:color="auto"/>
      </w:divBdr>
    </w:div>
    <w:div w:id="780303243">
      <w:bodyDiv w:val="1"/>
      <w:marLeft w:val="0"/>
      <w:marRight w:val="0"/>
      <w:marTop w:val="0"/>
      <w:marBottom w:val="0"/>
      <w:divBdr>
        <w:top w:val="none" w:sz="0" w:space="0" w:color="auto"/>
        <w:left w:val="none" w:sz="0" w:space="0" w:color="auto"/>
        <w:bottom w:val="none" w:sz="0" w:space="0" w:color="auto"/>
        <w:right w:val="none" w:sz="0" w:space="0" w:color="auto"/>
      </w:divBdr>
    </w:div>
    <w:div w:id="1055086762">
      <w:bodyDiv w:val="1"/>
      <w:marLeft w:val="0"/>
      <w:marRight w:val="0"/>
      <w:marTop w:val="0"/>
      <w:marBottom w:val="0"/>
      <w:divBdr>
        <w:top w:val="none" w:sz="0" w:space="0" w:color="auto"/>
        <w:left w:val="none" w:sz="0" w:space="0" w:color="auto"/>
        <w:bottom w:val="none" w:sz="0" w:space="0" w:color="auto"/>
        <w:right w:val="none" w:sz="0" w:space="0" w:color="auto"/>
      </w:divBdr>
    </w:div>
    <w:div w:id="1787769681">
      <w:bodyDiv w:val="1"/>
      <w:marLeft w:val="0"/>
      <w:marRight w:val="0"/>
      <w:marTop w:val="0"/>
      <w:marBottom w:val="0"/>
      <w:divBdr>
        <w:top w:val="none" w:sz="0" w:space="0" w:color="auto"/>
        <w:left w:val="none" w:sz="0" w:space="0" w:color="auto"/>
        <w:bottom w:val="none" w:sz="0" w:space="0" w:color="auto"/>
        <w:right w:val="none" w:sz="0" w:space="0" w:color="auto"/>
      </w:divBdr>
    </w:div>
    <w:div w:id="1879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47335-6E71-4D9B-B1EF-6854B446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7</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Bidadian</dc:creator>
  <cp:keywords/>
  <dc:description/>
  <cp:lastModifiedBy>Behrang Bidadian</cp:lastModifiedBy>
  <cp:revision>60</cp:revision>
  <dcterms:created xsi:type="dcterms:W3CDTF">2023-07-25T14:22:00Z</dcterms:created>
  <dcterms:modified xsi:type="dcterms:W3CDTF">2023-07-25T21:48:00Z</dcterms:modified>
</cp:coreProperties>
</file>