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3765C" w14:textId="77777777" w:rsidR="006E0C53" w:rsidRPr="006E0C53" w:rsidRDefault="006E0C53" w:rsidP="006E0C53">
      <w:r w:rsidRPr="006E0C53">
        <w:t>Open Space Preservation</w:t>
      </w:r>
    </w:p>
    <w:p w14:paraId="74C05B58" w14:textId="77777777" w:rsidR="006E0C53" w:rsidRPr="006E0C53" w:rsidRDefault="006E0C53" w:rsidP="006E0C53">
      <w:r w:rsidRPr="006E0C53">
        <w:rPr>
          <w:i/>
          <w:iCs/>
        </w:rPr>
        <w:t>CRS Coordinator’s Manual </w:t>
      </w:r>
      <w:r w:rsidRPr="006E0C53">
        <w:t>420-7 Edition: 2017</w:t>
      </w:r>
    </w:p>
    <w:p w14:paraId="127D3A74" w14:textId="77777777" w:rsidR="006E0C53" w:rsidRPr="006E0C53" w:rsidRDefault="006E0C53" w:rsidP="006E0C53">
      <w:r w:rsidRPr="006E0C53">
        <w:t> </w:t>
      </w:r>
    </w:p>
    <w:p w14:paraId="693834CD" w14:textId="77777777" w:rsidR="006E0C53" w:rsidRPr="006E0C53" w:rsidRDefault="006E0C53" w:rsidP="006E0C53">
      <w:r w:rsidRPr="006E0C53">
        <w:t>(3) The parcel must be “preserved” as open space. This criterion may be met in one of three ways:</w:t>
      </w:r>
    </w:p>
    <w:p w14:paraId="2C4E934F" w14:textId="77777777" w:rsidR="006E0C53" w:rsidRPr="006E0C53" w:rsidRDefault="006E0C53" w:rsidP="006E0C53">
      <w:r w:rsidRPr="006E0C53">
        <w:t>(a) Public land (non-federal), such as state and local parks and easements, can qualify if the owning agency states in writing that the lands are intended to be kept as open space. As noted in Section 403, there is no open space credit for federal lands. Examples of such creditable open space parcels include, but are not limited to</w:t>
      </w:r>
    </w:p>
    <w:p w14:paraId="5D761AAF" w14:textId="77777777" w:rsidR="006E0C53" w:rsidRPr="006E0C53" w:rsidRDefault="006E0C53" w:rsidP="006E0C53">
      <w:pPr>
        <w:numPr>
          <w:ilvl w:val="0"/>
          <w:numId w:val="1"/>
        </w:numPr>
      </w:pPr>
      <w:r w:rsidRPr="006E0C53">
        <w:t>o City and county parks and forest preserves,</w:t>
      </w:r>
    </w:p>
    <w:p w14:paraId="16EA9560" w14:textId="77777777" w:rsidR="006E0C53" w:rsidRPr="006E0C53" w:rsidRDefault="006E0C53" w:rsidP="006E0C53">
      <w:pPr>
        <w:numPr>
          <w:ilvl w:val="0"/>
          <w:numId w:val="1"/>
        </w:numPr>
      </w:pPr>
      <w:r w:rsidRPr="006E0C53">
        <w:t>o State parks and state forests,</w:t>
      </w:r>
    </w:p>
    <w:p w14:paraId="407149A2" w14:textId="77777777" w:rsidR="006E0C53" w:rsidRPr="006E0C53" w:rsidRDefault="006E0C53" w:rsidP="006E0C53">
      <w:pPr>
        <w:numPr>
          <w:ilvl w:val="0"/>
          <w:numId w:val="1"/>
        </w:numPr>
      </w:pPr>
      <w:r w:rsidRPr="006E0C53">
        <w:t>o Publicly owned beaches or natural areas,</w:t>
      </w:r>
    </w:p>
    <w:p w14:paraId="5522A9D0" w14:textId="77777777" w:rsidR="006E0C53" w:rsidRPr="006E0C53" w:rsidRDefault="006E0C53" w:rsidP="006E0C53">
      <w:pPr>
        <w:numPr>
          <w:ilvl w:val="0"/>
          <w:numId w:val="1"/>
        </w:numPr>
      </w:pPr>
      <w:r w:rsidRPr="006E0C53">
        <w:t>o School playing fields, and</w:t>
      </w:r>
    </w:p>
    <w:p w14:paraId="2DD961DC" w14:textId="77777777" w:rsidR="006E0C53" w:rsidRPr="006E0C53" w:rsidRDefault="006E0C53" w:rsidP="006E0C53">
      <w:pPr>
        <w:numPr>
          <w:ilvl w:val="0"/>
          <w:numId w:val="1"/>
        </w:numPr>
      </w:pPr>
      <w:r w:rsidRPr="006E0C53">
        <w:t>o Floodplain easements dedicated to the community by developers.</w:t>
      </w:r>
    </w:p>
    <w:p w14:paraId="078C11D6" w14:textId="77777777" w:rsidR="006E0C53" w:rsidRPr="006E0C53" w:rsidRDefault="006E0C53" w:rsidP="006E0C53">
      <w:r w:rsidRPr="006E0C53">
        <w:t> </w:t>
      </w:r>
    </w:p>
    <w:p w14:paraId="2394FB36" w14:textId="77777777" w:rsidR="006E0C53" w:rsidRPr="006E0C53" w:rsidRDefault="006E0C53" w:rsidP="006E0C53">
      <w:r w:rsidRPr="006E0C53">
        <w:t>(b) Private wildlife or nature preserves that are maintained for open space purposes can qualify if the owner states in writing that they are intended to be kept as open space. Examples of such creditable open space parcels include, but are not limited to</w:t>
      </w:r>
    </w:p>
    <w:p w14:paraId="25761080" w14:textId="77777777" w:rsidR="006E0C53" w:rsidRPr="006E0C53" w:rsidRDefault="006E0C53" w:rsidP="006E0C53">
      <w:pPr>
        <w:numPr>
          <w:ilvl w:val="0"/>
          <w:numId w:val="2"/>
        </w:numPr>
      </w:pPr>
      <w:r w:rsidRPr="006E0C53">
        <w:t>o Church retreats,</w:t>
      </w:r>
    </w:p>
    <w:p w14:paraId="3D63B5B9" w14:textId="77777777" w:rsidR="006E0C53" w:rsidRPr="006E0C53" w:rsidRDefault="006E0C53" w:rsidP="006E0C53">
      <w:pPr>
        <w:numPr>
          <w:ilvl w:val="0"/>
          <w:numId w:val="2"/>
        </w:numPr>
      </w:pPr>
      <w:r w:rsidRPr="006E0C53">
        <w:t>o Hunting club lands,</w:t>
      </w:r>
    </w:p>
    <w:p w14:paraId="353F4F07" w14:textId="77777777" w:rsidR="006E0C53" w:rsidRPr="006E0C53" w:rsidRDefault="006E0C53" w:rsidP="006E0C53">
      <w:pPr>
        <w:numPr>
          <w:ilvl w:val="0"/>
          <w:numId w:val="2"/>
        </w:numPr>
      </w:pPr>
      <w:r w:rsidRPr="006E0C53">
        <w:t>o Golf courses owned by nonprofit associations,</w:t>
      </w:r>
    </w:p>
    <w:p w14:paraId="58C78AB2" w14:textId="77777777" w:rsidR="006E0C53" w:rsidRPr="006E0C53" w:rsidRDefault="006E0C53" w:rsidP="006E0C53">
      <w:pPr>
        <w:numPr>
          <w:ilvl w:val="0"/>
          <w:numId w:val="2"/>
        </w:numPr>
      </w:pPr>
      <w:r w:rsidRPr="006E0C53">
        <w:t>o Audubon Society preserves, and</w:t>
      </w:r>
    </w:p>
    <w:p w14:paraId="7A20AF9E" w14:textId="77777777" w:rsidR="006E0C53" w:rsidRPr="006E0C53" w:rsidRDefault="006E0C53" w:rsidP="006E0C53">
      <w:pPr>
        <w:numPr>
          <w:ilvl w:val="0"/>
          <w:numId w:val="2"/>
        </w:numPr>
      </w:pPr>
      <w:r w:rsidRPr="006E0C53">
        <w:t>o Boy Scout or Girl Scout camping areas.</w:t>
      </w:r>
    </w:p>
    <w:p w14:paraId="52FE4240" w14:textId="77777777" w:rsidR="006E0C53" w:rsidRPr="006E0C53" w:rsidRDefault="006E0C53" w:rsidP="006E0C53">
      <w:r w:rsidRPr="006E0C53">
        <w:t> </w:t>
      </w:r>
    </w:p>
    <w:p w14:paraId="7F4062D8" w14:textId="77777777" w:rsidR="006E0C53" w:rsidRPr="006E0C53" w:rsidRDefault="006E0C53" w:rsidP="006E0C53">
      <w:r w:rsidRPr="006E0C53">
        <w:t>A parcel set aside by a developer as a temporary “preserve” until the area develops is not considered preserved open space.</w:t>
      </w:r>
    </w:p>
    <w:p w14:paraId="641CF140" w14:textId="77777777" w:rsidR="006E0C53" w:rsidRPr="006E0C53" w:rsidRDefault="006E0C53" w:rsidP="006E0C53">
      <w:r w:rsidRPr="006E0C53">
        <w:t> </w:t>
      </w:r>
    </w:p>
    <w:p w14:paraId="45601CF6" w14:textId="77777777" w:rsidR="006E0C53" w:rsidRPr="006E0C53" w:rsidRDefault="006E0C53" w:rsidP="006E0C53">
      <w:r w:rsidRPr="006E0C53">
        <w:t>(c) Open space areas subject to land development regulations that prohibit buildings and filling can qualify for OSP. The credit criteria are the following:</w:t>
      </w:r>
    </w:p>
    <w:p w14:paraId="1343D4C0" w14:textId="77777777" w:rsidR="006E0C53" w:rsidRPr="006E0C53" w:rsidRDefault="006E0C53" w:rsidP="006E0C53">
      <w:pPr>
        <w:numPr>
          <w:ilvl w:val="0"/>
          <w:numId w:val="3"/>
        </w:numPr>
      </w:pPr>
      <w:r w:rsidRPr="006E0C53">
        <w:t xml:space="preserve">o </w:t>
      </w:r>
      <w:proofErr w:type="gramStart"/>
      <w:r w:rsidRPr="006E0C53">
        <w:t>The</w:t>
      </w:r>
      <w:proofErr w:type="gramEnd"/>
      <w:r w:rsidRPr="006E0C53">
        <w:t xml:space="preserve"> regulations must prohibit construction of new buildings;</w:t>
      </w:r>
    </w:p>
    <w:p w14:paraId="2C4572E3" w14:textId="77777777" w:rsidR="006E0C53" w:rsidRPr="006E0C53" w:rsidRDefault="006E0C53" w:rsidP="006E0C53">
      <w:pPr>
        <w:numPr>
          <w:ilvl w:val="0"/>
          <w:numId w:val="3"/>
        </w:numPr>
      </w:pPr>
      <w:r w:rsidRPr="006E0C53">
        <w:t xml:space="preserve">o </w:t>
      </w:r>
      <w:proofErr w:type="gramStart"/>
      <w:r w:rsidRPr="006E0C53">
        <w:t>The</w:t>
      </w:r>
      <w:proofErr w:type="gramEnd"/>
      <w:r w:rsidRPr="006E0C53">
        <w:t xml:space="preserve"> regulations must prohibit filling, grading, or other activities that obstruct flood flows or remove flood storage in areas subject to riverine flooding;</w:t>
      </w:r>
    </w:p>
    <w:p w14:paraId="7F553D96" w14:textId="77777777" w:rsidR="006E0C53" w:rsidRPr="006E0C53" w:rsidRDefault="006E0C53" w:rsidP="006E0C53">
      <w:pPr>
        <w:numPr>
          <w:ilvl w:val="0"/>
          <w:numId w:val="3"/>
        </w:numPr>
      </w:pPr>
      <w:r w:rsidRPr="006E0C53">
        <w:lastRenderedPageBreak/>
        <w:t xml:space="preserve">o </w:t>
      </w:r>
      <w:proofErr w:type="gramStart"/>
      <w:r w:rsidRPr="006E0C53">
        <w:t>The</w:t>
      </w:r>
      <w:proofErr w:type="gramEnd"/>
      <w:r w:rsidRPr="006E0C53">
        <w:t xml:space="preserve"> area where the regulations are in effect must be mapped or defined by lots or a legal description so it can be mapped. For example, a wetlands regulation that is dependent upon site analysis to define whether a property is a wetland is not </w:t>
      </w:r>
      <w:proofErr w:type="gramStart"/>
      <w:r w:rsidRPr="006E0C53">
        <w:t>acceptable;</w:t>
      </w:r>
      <w:proofErr w:type="gramEnd"/>
    </w:p>
    <w:p w14:paraId="04289C81" w14:textId="77777777" w:rsidR="006E0C53" w:rsidRPr="006E0C53" w:rsidRDefault="006E0C53" w:rsidP="006E0C53">
      <w:pPr>
        <w:numPr>
          <w:ilvl w:val="0"/>
          <w:numId w:val="3"/>
        </w:numPr>
      </w:pPr>
      <w:r w:rsidRPr="006E0C53">
        <w:t xml:space="preserve">o </w:t>
      </w:r>
      <w:proofErr w:type="gramStart"/>
      <w:r w:rsidRPr="006E0C53">
        <w:t>The</w:t>
      </w:r>
      <w:proofErr w:type="gramEnd"/>
      <w:r w:rsidRPr="006E0C53">
        <w:t xml:space="preserve"> maintenance of existing levees and engineered dune and beach nourishment programs within the area is permissible;</w:t>
      </w:r>
    </w:p>
    <w:p w14:paraId="2508C1D4" w14:textId="77777777" w:rsidR="006E0C53" w:rsidRPr="006E0C53" w:rsidRDefault="006E0C53" w:rsidP="006E0C53">
      <w:pPr>
        <w:numPr>
          <w:ilvl w:val="0"/>
          <w:numId w:val="3"/>
        </w:numPr>
      </w:pPr>
      <w:r w:rsidRPr="006E0C53">
        <w:t>o Credit is only given for such regulated lands that are vacant at the time of application for CRS credit; and</w:t>
      </w:r>
    </w:p>
    <w:p w14:paraId="5C00A7FF" w14:textId="77777777" w:rsidR="006E0C53" w:rsidRPr="006E0C53" w:rsidRDefault="006E0C53" w:rsidP="006E0C53">
      <w:pPr>
        <w:numPr>
          <w:ilvl w:val="0"/>
          <w:numId w:val="3"/>
        </w:numPr>
      </w:pPr>
      <w:r w:rsidRPr="006E0C53">
        <w:t>o If an ordinance prohibits residential development in the V Zone, floodway, or other portion of the regulatory floodplain, the community may request OSP credit for all areas that are zoned for residential use only.</w:t>
      </w:r>
    </w:p>
    <w:p w14:paraId="2039D481" w14:textId="77777777" w:rsidR="006E0C53" w:rsidRPr="006E0C53" w:rsidRDefault="006E0C53" w:rsidP="006E0C53">
      <w:r w:rsidRPr="006E0C53">
        <w:t>Credit Criteria for OSP</w:t>
      </w:r>
    </w:p>
    <w:p w14:paraId="659A1DCC" w14:textId="77777777" w:rsidR="006E0C53" w:rsidRPr="006E0C53" w:rsidRDefault="006E0C53" w:rsidP="006E0C53">
      <w:r w:rsidRPr="006E0C53">
        <w:t>(1) The parcel must be located in the community’s regulatory floodplain, which means that the parcel is located in either</w:t>
      </w:r>
    </w:p>
    <w:p w14:paraId="6475F924" w14:textId="77777777" w:rsidR="006E0C53" w:rsidRPr="006E0C53" w:rsidRDefault="006E0C53" w:rsidP="006E0C53">
      <w:r w:rsidRPr="006E0C53">
        <w:t>(a) The SFHA as shown on the community’s Flood Insurance Rate Map (FIRM), or</w:t>
      </w:r>
    </w:p>
    <w:p w14:paraId="1CE3D8B6" w14:textId="77777777" w:rsidR="006E0C53" w:rsidRPr="006E0C53" w:rsidRDefault="006E0C53" w:rsidP="006E0C53">
      <w:r w:rsidRPr="006E0C53">
        <w:t>(b) A floodplain outside the SFHA where the community enforces development regulations similar to those enforced for new development in the SFHA. The community must map the area and document its floodplain management regulations.</w:t>
      </w:r>
    </w:p>
    <w:p w14:paraId="6BFD708B" w14:textId="77777777" w:rsidR="006E0C53" w:rsidRPr="006E0C53" w:rsidRDefault="006E0C53" w:rsidP="006E0C53"/>
    <w:p w14:paraId="74D367B3" w14:textId="77777777" w:rsidR="006E0C53" w:rsidRPr="006E0C53" w:rsidRDefault="006E0C53" w:rsidP="006E0C53">
      <w:r w:rsidRPr="006E0C53">
        <w:t>(2) The parcel must be “open space,” meaning there are no buildings, storage, filling, significant pavement, or other encroachment to flood flows. Simply having vacant land in the floodplain does not qualify for open space credit. Six types of properties in particular are NOT counted for this activity:</w:t>
      </w:r>
    </w:p>
    <w:p w14:paraId="6D3E2ABF" w14:textId="77777777" w:rsidR="006E0C53" w:rsidRPr="006E0C53" w:rsidRDefault="006E0C53" w:rsidP="006E0C53">
      <w:r w:rsidRPr="006E0C53">
        <w:t>(a) Properties not counted in any calculations for the 400 series of Community Rating System (CRS) activities. This includes large bodies of water, federal lands, and other types of property as explained in Section 403. When plotting open space lands, these excluded areas should be marked on the impact adjustment map to ensure that they are not mistakenly included in the calculations. See Section 403 for more information.</w:t>
      </w:r>
    </w:p>
    <w:p w14:paraId="04FAD0CF" w14:textId="77777777" w:rsidR="006E0C53" w:rsidRPr="006E0C53" w:rsidRDefault="006E0C53" w:rsidP="006E0C53">
      <w:r w:rsidRPr="006E0C53">
        <w:t>(b) Areas with impervious surfaces. Parking lots and streets do not qualify. For example, if a parcel such as a park has a parking lot, a paved tennis court, and a paved road, those areas must be excluded from the area calculations in the impact adjustment. Minor areas, such as sidewalks, trails, or pervious pavements, do not need to be excluded.</w:t>
      </w:r>
    </w:p>
    <w:p w14:paraId="25294C93" w14:textId="77777777" w:rsidR="006E0C53" w:rsidRPr="006E0C53" w:rsidRDefault="006E0C53" w:rsidP="006E0C53">
      <w:r w:rsidRPr="006E0C53">
        <w:t xml:space="preserve">(c) Areas with buildings on them. See Section 301 for a discussion of “buildings.” Insurable buildings on parcels larger than 10 acres will not disqualify a lot, provided that the building is “a necessary appurtenance” of the open space use. Open pavilions and similar structures are not insurable buildings as defined in Section 301 and they do not disqualify a parcel for this credit. However, their roofs are impervious </w:t>
      </w:r>
      <w:proofErr w:type="gramStart"/>
      <w:r w:rsidRPr="006E0C53">
        <w:t>surfaces</w:t>
      </w:r>
      <w:proofErr w:type="gramEnd"/>
      <w:r w:rsidRPr="006E0C53">
        <w:t xml:space="preserve"> and their area must be deducted from the parcel’s area calculations.</w:t>
      </w:r>
    </w:p>
    <w:p w14:paraId="3C6B5FCC" w14:textId="77777777" w:rsidR="006E0C53" w:rsidRPr="006E0C53" w:rsidRDefault="006E0C53" w:rsidP="006E0C53">
      <w:r w:rsidRPr="006E0C53">
        <w:t>=======================================</w:t>
      </w:r>
    </w:p>
    <w:p w14:paraId="7E46D804" w14:textId="77777777" w:rsidR="006E0C53" w:rsidRPr="006E0C53" w:rsidRDefault="006E0C53" w:rsidP="006E0C53">
      <w:r w:rsidRPr="006E0C53">
        <w:t>USGS PAD-US</w:t>
      </w:r>
    </w:p>
    <w:p w14:paraId="7EDA1985" w14:textId="77777777" w:rsidR="006E0C53" w:rsidRPr="006E0C53" w:rsidRDefault="00905ABA" w:rsidP="006E0C53">
      <w:pPr>
        <w:pBdr>
          <w:bottom w:val="double" w:sz="6" w:space="1" w:color="auto"/>
        </w:pBdr>
      </w:pPr>
      <w:hyperlink r:id="rId5" w:anchor="/common-views" w:history="1">
        <w:r w:rsidR="006E0C53" w:rsidRPr="006E0C53">
          <w:rPr>
            <w:rStyle w:val="Hyperlink"/>
          </w:rPr>
          <w:t>https://maps.usgs.gov/padusdataexplorer/#/common-views</w:t>
        </w:r>
      </w:hyperlink>
    </w:p>
    <w:p w14:paraId="4C49C9AA" w14:textId="77777777" w:rsidR="00905ABA" w:rsidRDefault="00905ABA"/>
    <w:p w14:paraId="2CF066D3" w14:textId="77777777" w:rsidR="00905ABA" w:rsidRDefault="00905ABA" w:rsidP="00905ABA">
      <w:r>
        <w:t>Page 420-3, CRS Coordinator’s Manual 2017</w:t>
      </w:r>
    </w:p>
    <w:p w14:paraId="1DA58033" w14:textId="77777777" w:rsidR="00905ABA" w:rsidRDefault="00905ABA" w:rsidP="00905ABA"/>
    <w:p w14:paraId="7133EC4E" w14:textId="77777777" w:rsidR="00905ABA" w:rsidRDefault="00905ABA" w:rsidP="00905ABA">
      <w:r>
        <w:t xml:space="preserve">OSP credits preserved open space in the floodplain. The objective of open space preservation is to prevent or minimize development in the regulatory floodplain that obstructs floodwaters; exposes insurable buildings to damage; is subject to erosion or other flood-related hazards; or adversely affects water quality, water quantity, or other floodplain functions. </w:t>
      </w:r>
    </w:p>
    <w:p w14:paraId="6FFD6CFC" w14:textId="77777777" w:rsidR="00905ABA" w:rsidRDefault="00905ABA" w:rsidP="00905ABA"/>
    <w:p w14:paraId="684AFB1A" w14:textId="77777777" w:rsidR="00905ABA" w:rsidRDefault="00905ABA" w:rsidP="00905ABA">
      <w:r w:rsidRPr="00905ABA">
        <w:rPr>
          <w:highlight w:val="yellow"/>
        </w:rPr>
        <w:t>Several different methods of preserving floodplain lands as open space (OSP) are recognized. To be termed “open space,” the land must be free from buildings, filling, significant pavement, or other encroachment to flood flows. To be considered “preserved,” there must be a signed statement from a public or creditable private owner or regulations that prohibit buildings, filling, or other encroachments on flood flows.</w:t>
      </w:r>
    </w:p>
    <w:p w14:paraId="1F900284" w14:textId="77777777" w:rsidR="00905ABA" w:rsidRDefault="00905ABA" w:rsidP="00905ABA"/>
    <w:p w14:paraId="72BD5545" w14:textId="77777777" w:rsidR="00905ABA" w:rsidRDefault="00905ABA" w:rsidP="00905ABA"/>
    <w:p w14:paraId="647D37AB" w14:textId="77777777" w:rsidR="00905ABA" w:rsidRDefault="00905ABA" w:rsidP="00905ABA">
      <w:r>
        <w:t xml:space="preserve">NOTE: A community does not need to prohibit all use of private property to obtain CRS credit. Communities are advised to have their attorneys or corporation counsels ensure that their regulations that prevent construction of buildings or the placement of fill in hazardous areas do not constitute a taking of private property. </w:t>
      </w:r>
    </w:p>
    <w:p w14:paraId="32CD81D9" w14:textId="77777777" w:rsidR="00905ABA" w:rsidRDefault="00905ABA" w:rsidP="00905ABA">
      <w:r>
        <w:t xml:space="preserve">Several different methods of preserving floodplain lands as open space (OSP) are recognized. To be </w:t>
      </w:r>
    </w:p>
    <w:p w14:paraId="10FB3CCC" w14:textId="77777777" w:rsidR="00905ABA" w:rsidRDefault="00905ABA" w:rsidP="00905ABA">
      <w:r>
        <w:t xml:space="preserve">Open Space Preservation </w:t>
      </w:r>
    </w:p>
    <w:p w14:paraId="6D400F02" w14:textId="11582538" w:rsidR="00905ABA" w:rsidRDefault="00905ABA" w:rsidP="00905ABA">
      <w:r>
        <w:t>CRS Coordinator’s Manual 420-4 Edition: 2017</w:t>
      </w:r>
    </w:p>
    <w:sectPr w:rsidR="00905ABA" w:rsidSect="00905ABA">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204B6"/>
    <w:multiLevelType w:val="multilevel"/>
    <w:tmpl w:val="DFF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70DC6"/>
    <w:multiLevelType w:val="multilevel"/>
    <w:tmpl w:val="19E6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D1E93"/>
    <w:multiLevelType w:val="multilevel"/>
    <w:tmpl w:val="521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52346">
    <w:abstractNumId w:val="2"/>
  </w:num>
  <w:num w:numId="2" w16cid:durableId="1933321047">
    <w:abstractNumId w:val="1"/>
  </w:num>
  <w:num w:numId="3" w16cid:durableId="17880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53"/>
    <w:rsid w:val="000013F6"/>
    <w:rsid w:val="006E0C53"/>
    <w:rsid w:val="006F1A4B"/>
    <w:rsid w:val="00905ABA"/>
    <w:rsid w:val="00D527F2"/>
    <w:rsid w:val="00E4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7AB1"/>
  <w15:chartTrackingRefBased/>
  <w15:docId w15:val="{F7584F4D-C24B-409A-BF85-8ABD4953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E0C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0C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0C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E0C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E0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5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E0C5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0C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0C5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E0C5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E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53"/>
    <w:rPr>
      <w:rFonts w:eastAsiaTheme="majorEastAsia" w:cstheme="majorBidi"/>
      <w:color w:val="272727" w:themeColor="text1" w:themeTint="D8"/>
    </w:rPr>
  </w:style>
  <w:style w:type="paragraph" w:styleId="Title">
    <w:name w:val="Title"/>
    <w:basedOn w:val="Normal"/>
    <w:next w:val="Normal"/>
    <w:link w:val="TitleChar"/>
    <w:uiPriority w:val="10"/>
    <w:qFormat/>
    <w:rsid w:val="006E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53"/>
    <w:pPr>
      <w:spacing w:before="160"/>
      <w:jc w:val="center"/>
    </w:pPr>
    <w:rPr>
      <w:i/>
      <w:iCs/>
      <w:color w:val="404040" w:themeColor="text1" w:themeTint="BF"/>
    </w:rPr>
  </w:style>
  <w:style w:type="character" w:customStyle="1" w:styleId="QuoteChar">
    <w:name w:val="Quote Char"/>
    <w:basedOn w:val="DefaultParagraphFont"/>
    <w:link w:val="Quote"/>
    <w:uiPriority w:val="29"/>
    <w:rsid w:val="006E0C53"/>
    <w:rPr>
      <w:i/>
      <w:iCs/>
      <w:color w:val="404040" w:themeColor="text1" w:themeTint="BF"/>
    </w:rPr>
  </w:style>
  <w:style w:type="paragraph" w:styleId="ListParagraph">
    <w:name w:val="List Paragraph"/>
    <w:basedOn w:val="Normal"/>
    <w:uiPriority w:val="34"/>
    <w:qFormat/>
    <w:rsid w:val="006E0C53"/>
    <w:pPr>
      <w:ind w:left="720"/>
      <w:contextualSpacing/>
    </w:pPr>
  </w:style>
  <w:style w:type="character" w:styleId="IntenseEmphasis">
    <w:name w:val="Intense Emphasis"/>
    <w:basedOn w:val="DefaultParagraphFont"/>
    <w:uiPriority w:val="21"/>
    <w:qFormat/>
    <w:rsid w:val="006E0C53"/>
    <w:rPr>
      <w:i/>
      <w:iCs/>
      <w:color w:val="2E74B5" w:themeColor="accent1" w:themeShade="BF"/>
    </w:rPr>
  </w:style>
  <w:style w:type="paragraph" w:styleId="IntenseQuote">
    <w:name w:val="Intense Quote"/>
    <w:basedOn w:val="Normal"/>
    <w:next w:val="Normal"/>
    <w:link w:val="IntenseQuoteChar"/>
    <w:uiPriority w:val="30"/>
    <w:qFormat/>
    <w:rsid w:val="006E0C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E0C53"/>
    <w:rPr>
      <w:i/>
      <w:iCs/>
      <w:color w:val="2E74B5" w:themeColor="accent1" w:themeShade="BF"/>
    </w:rPr>
  </w:style>
  <w:style w:type="character" w:styleId="IntenseReference">
    <w:name w:val="Intense Reference"/>
    <w:basedOn w:val="DefaultParagraphFont"/>
    <w:uiPriority w:val="32"/>
    <w:qFormat/>
    <w:rsid w:val="006E0C53"/>
    <w:rPr>
      <w:b/>
      <w:bCs/>
      <w:smallCaps/>
      <w:color w:val="2E74B5" w:themeColor="accent1" w:themeShade="BF"/>
      <w:spacing w:val="5"/>
    </w:rPr>
  </w:style>
  <w:style w:type="character" w:styleId="Hyperlink">
    <w:name w:val="Hyperlink"/>
    <w:basedOn w:val="DefaultParagraphFont"/>
    <w:uiPriority w:val="99"/>
    <w:unhideWhenUsed/>
    <w:rsid w:val="006E0C53"/>
    <w:rPr>
      <w:color w:val="0563C1" w:themeColor="hyperlink"/>
      <w:u w:val="single"/>
    </w:rPr>
  </w:style>
  <w:style w:type="character" w:styleId="UnresolvedMention">
    <w:name w:val="Unresolved Mention"/>
    <w:basedOn w:val="DefaultParagraphFont"/>
    <w:uiPriority w:val="99"/>
    <w:semiHidden/>
    <w:unhideWhenUsed/>
    <w:rsid w:val="006E0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1798">
      <w:bodyDiv w:val="1"/>
      <w:marLeft w:val="0"/>
      <w:marRight w:val="0"/>
      <w:marTop w:val="0"/>
      <w:marBottom w:val="0"/>
      <w:divBdr>
        <w:top w:val="none" w:sz="0" w:space="0" w:color="auto"/>
        <w:left w:val="none" w:sz="0" w:space="0" w:color="auto"/>
        <w:bottom w:val="none" w:sz="0" w:space="0" w:color="auto"/>
        <w:right w:val="none" w:sz="0" w:space="0" w:color="auto"/>
      </w:divBdr>
      <w:divsChild>
        <w:div w:id="1319769792">
          <w:marLeft w:val="0"/>
          <w:marRight w:val="0"/>
          <w:marTop w:val="0"/>
          <w:marBottom w:val="160"/>
          <w:divBdr>
            <w:top w:val="none" w:sz="0" w:space="0" w:color="auto"/>
            <w:left w:val="none" w:sz="0" w:space="0" w:color="auto"/>
            <w:bottom w:val="none" w:sz="0" w:space="0" w:color="auto"/>
            <w:right w:val="none" w:sz="0" w:space="0" w:color="auto"/>
          </w:divBdr>
        </w:div>
        <w:div w:id="1493453021">
          <w:marLeft w:val="0"/>
          <w:marRight w:val="0"/>
          <w:marTop w:val="0"/>
          <w:marBottom w:val="160"/>
          <w:divBdr>
            <w:top w:val="none" w:sz="0" w:space="0" w:color="auto"/>
            <w:left w:val="none" w:sz="0" w:space="0" w:color="auto"/>
            <w:bottom w:val="none" w:sz="0" w:space="0" w:color="auto"/>
            <w:right w:val="none" w:sz="0" w:space="0" w:color="auto"/>
          </w:divBdr>
        </w:div>
        <w:div w:id="1688556041">
          <w:marLeft w:val="0"/>
          <w:marRight w:val="0"/>
          <w:marTop w:val="0"/>
          <w:marBottom w:val="160"/>
          <w:divBdr>
            <w:top w:val="none" w:sz="0" w:space="0" w:color="auto"/>
            <w:left w:val="none" w:sz="0" w:space="0" w:color="auto"/>
            <w:bottom w:val="none" w:sz="0" w:space="0" w:color="auto"/>
            <w:right w:val="none" w:sz="0" w:space="0" w:color="auto"/>
          </w:divBdr>
        </w:div>
        <w:div w:id="867451908">
          <w:marLeft w:val="0"/>
          <w:marRight w:val="0"/>
          <w:marTop w:val="0"/>
          <w:marBottom w:val="0"/>
          <w:divBdr>
            <w:top w:val="none" w:sz="0" w:space="0" w:color="auto"/>
            <w:left w:val="none" w:sz="0" w:space="0" w:color="auto"/>
            <w:bottom w:val="none" w:sz="0" w:space="0" w:color="auto"/>
            <w:right w:val="none" w:sz="0" w:space="0" w:color="auto"/>
          </w:divBdr>
        </w:div>
        <w:div w:id="1539390825">
          <w:marLeft w:val="0"/>
          <w:marRight w:val="0"/>
          <w:marTop w:val="0"/>
          <w:marBottom w:val="0"/>
          <w:divBdr>
            <w:top w:val="none" w:sz="0" w:space="0" w:color="auto"/>
            <w:left w:val="none" w:sz="0" w:space="0" w:color="auto"/>
            <w:bottom w:val="none" w:sz="0" w:space="0" w:color="auto"/>
            <w:right w:val="none" w:sz="0" w:space="0" w:color="auto"/>
          </w:divBdr>
        </w:div>
        <w:div w:id="1479611418">
          <w:marLeft w:val="0"/>
          <w:marRight w:val="0"/>
          <w:marTop w:val="0"/>
          <w:marBottom w:val="0"/>
          <w:divBdr>
            <w:top w:val="none" w:sz="0" w:space="0" w:color="auto"/>
            <w:left w:val="none" w:sz="0" w:space="0" w:color="auto"/>
            <w:bottom w:val="none" w:sz="0" w:space="0" w:color="auto"/>
            <w:right w:val="none" w:sz="0" w:space="0" w:color="auto"/>
          </w:divBdr>
        </w:div>
        <w:div w:id="1146122731">
          <w:marLeft w:val="0"/>
          <w:marRight w:val="0"/>
          <w:marTop w:val="0"/>
          <w:marBottom w:val="0"/>
          <w:divBdr>
            <w:top w:val="none" w:sz="0" w:space="0" w:color="auto"/>
            <w:left w:val="none" w:sz="0" w:space="0" w:color="auto"/>
            <w:bottom w:val="none" w:sz="0" w:space="0" w:color="auto"/>
            <w:right w:val="none" w:sz="0" w:space="0" w:color="auto"/>
          </w:divBdr>
        </w:div>
        <w:div w:id="1976595771">
          <w:marLeft w:val="0"/>
          <w:marRight w:val="0"/>
          <w:marTop w:val="0"/>
          <w:marBottom w:val="0"/>
          <w:divBdr>
            <w:top w:val="none" w:sz="0" w:space="0" w:color="auto"/>
            <w:left w:val="none" w:sz="0" w:space="0" w:color="auto"/>
            <w:bottom w:val="none" w:sz="0" w:space="0" w:color="auto"/>
            <w:right w:val="none" w:sz="0" w:space="0" w:color="auto"/>
          </w:divBdr>
        </w:div>
        <w:div w:id="2127847860">
          <w:marLeft w:val="0"/>
          <w:marRight w:val="0"/>
          <w:marTop w:val="0"/>
          <w:marBottom w:val="0"/>
          <w:divBdr>
            <w:top w:val="none" w:sz="0" w:space="0" w:color="auto"/>
            <w:left w:val="none" w:sz="0" w:space="0" w:color="auto"/>
            <w:bottom w:val="none" w:sz="0" w:space="0" w:color="auto"/>
            <w:right w:val="none" w:sz="0" w:space="0" w:color="auto"/>
          </w:divBdr>
        </w:div>
        <w:div w:id="1456144958">
          <w:marLeft w:val="0"/>
          <w:marRight w:val="0"/>
          <w:marTop w:val="0"/>
          <w:marBottom w:val="0"/>
          <w:divBdr>
            <w:top w:val="none" w:sz="0" w:space="0" w:color="auto"/>
            <w:left w:val="none" w:sz="0" w:space="0" w:color="auto"/>
            <w:bottom w:val="none" w:sz="0" w:space="0" w:color="auto"/>
            <w:right w:val="none" w:sz="0" w:space="0" w:color="auto"/>
          </w:divBdr>
        </w:div>
        <w:div w:id="359085712">
          <w:marLeft w:val="0"/>
          <w:marRight w:val="0"/>
          <w:marTop w:val="0"/>
          <w:marBottom w:val="0"/>
          <w:divBdr>
            <w:top w:val="none" w:sz="0" w:space="0" w:color="auto"/>
            <w:left w:val="none" w:sz="0" w:space="0" w:color="auto"/>
            <w:bottom w:val="none" w:sz="0" w:space="0" w:color="auto"/>
            <w:right w:val="none" w:sz="0" w:space="0" w:color="auto"/>
          </w:divBdr>
        </w:div>
        <w:div w:id="536432913">
          <w:marLeft w:val="0"/>
          <w:marRight w:val="0"/>
          <w:marTop w:val="0"/>
          <w:marBottom w:val="0"/>
          <w:divBdr>
            <w:top w:val="none" w:sz="0" w:space="0" w:color="auto"/>
            <w:left w:val="none" w:sz="0" w:space="0" w:color="auto"/>
            <w:bottom w:val="none" w:sz="0" w:space="0" w:color="auto"/>
            <w:right w:val="none" w:sz="0" w:space="0" w:color="auto"/>
          </w:divBdr>
        </w:div>
        <w:div w:id="131410672">
          <w:marLeft w:val="0"/>
          <w:marRight w:val="0"/>
          <w:marTop w:val="0"/>
          <w:marBottom w:val="0"/>
          <w:divBdr>
            <w:top w:val="none" w:sz="0" w:space="0" w:color="auto"/>
            <w:left w:val="none" w:sz="0" w:space="0" w:color="auto"/>
            <w:bottom w:val="none" w:sz="0" w:space="0" w:color="auto"/>
            <w:right w:val="none" w:sz="0" w:space="0" w:color="auto"/>
          </w:divBdr>
        </w:div>
        <w:div w:id="1122648963">
          <w:marLeft w:val="0"/>
          <w:marRight w:val="0"/>
          <w:marTop w:val="0"/>
          <w:marBottom w:val="0"/>
          <w:divBdr>
            <w:top w:val="none" w:sz="0" w:space="0" w:color="auto"/>
            <w:left w:val="none" w:sz="0" w:space="0" w:color="auto"/>
            <w:bottom w:val="none" w:sz="0" w:space="0" w:color="auto"/>
            <w:right w:val="none" w:sz="0" w:space="0" w:color="auto"/>
          </w:divBdr>
        </w:div>
        <w:div w:id="539902724">
          <w:marLeft w:val="0"/>
          <w:marRight w:val="0"/>
          <w:marTop w:val="0"/>
          <w:marBottom w:val="0"/>
          <w:divBdr>
            <w:top w:val="none" w:sz="0" w:space="0" w:color="auto"/>
            <w:left w:val="none" w:sz="0" w:space="0" w:color="auto"/>
            <w:bottom w:val="none" w:sz="0" w:space="0" w:color="auto"/>
            <w:right w:val="none" w:sz="0" w:space="0" w:color="auto"/>
          </w:divBdr>
        </w:div>
        <w:div w:id="2071271833">
          <w:marLeft w:val="0"/>
          <w:marRight w:val="0"/>
          <w:marTop w:val="0"/>
          <w:marBottom w:val="0"/>
          <w:divBdr>
            <w:top w:val="none" w:sz="0" w:space="0" w:color="auto"/>
            <w:left w:val="none" w:sz="0" w:space="0" w:color="auto"/>
            <w:bottom w:val="none" w:sz="0" w:space="0" w:color="auto"/>
            <w:right w:val="none" w:sz="0" w:space="0" w:color="auto"/>
          </w:divBdr>
        </w:div>
        <w:div w:id="210970579">
          <w:marLeft w:val="0"/>
          <w:marRight w:val="0"/>
          <w:marTop w:val="0"/>
          <w:marBottom w:val="0"/>
          <w:divBdr>
            <w:top w:val="none" w:sz="0" w:space="0" w:color="auto"/>
            <w:left w:val="none" w:sz="0" w:space="0" w:color="auto"/>
            <w:bottom w:val="none" w:sz="0" w:space="0" w:color="auto"/>
            <w:right w:val="none" w:sz="0" w:space="0" w:color="auto"/>
          </w:divBdr>
        </w:div>
        <w:div w:id="1479108931">
          <w:marLeft w:val="0"/>
          <w:marRight w:val="0"/>
          <w:marTop w:val="0"/>
          <w:marBottom w:val="0"/>
          <w:divBdr>
            <w:top w:val="none" w:sz="0" w:space="0" w:color="auto"/>
            <w:left w:val="none" w:sz="0" w:space="0" w:color="auto"/>
            <w:bottom w:val="none" w:sz="0" w:space="0" w:color="auto"/>
            <w:right w:val="none" w:sz="0" w:space="0" w:color="auto"/>
          </w:divBdr>
        </w:div>
        <w:div w:id="1772508595">
          <w:marLeft w:val="0"/>
          <w:marRight w:val="0"/>
          <w:marTop w:val="0"/>
          <w:marBottom w:val="0"/>
          <w:divBdr>
            <w:top w:val="none" w:sz="0" w:space="0" w:color="auto"/>
            <w:left w:val="none" w:sz="0" w:space="0" w:color="auto"/>
            <w:bottom w:val="none" w:sz="0" w:space="0" w:color="auto"/>
            <w:right w:val="none" w:sz="0" w:space="0" w:color="auto"/>
          </w:divBdr>
        </w:div>
        <w:div w:id="1196893472">
          <w:marLeft w:val="0"/>
          <w:marRight w:val="0"/>
          <w:marTop w:val="0"/>
          <w:marBottom w:val="0"/>
          <w:divBdr>
            <w:top w:val="none" w:sz="0" w:space="0" w:color="auto"/>
            <w:left w:val="none" w:sz="0" w:space="0" w:color="auto"/>
            <w:bottom w:val="none" w:sz="0" w:space="0" w:color="auto"/>
            <w:right w:val="none" w:sz="0" w:space="0" w:color="auto"/>
          </w:divBdr>
        </w:div>
        <w:div w:id="1569997727">
          <w:marLeft w:val="0"/>
          <w:marRight w:val="0"/>
          <w:marTop w:val="0"/>
          <w:marBottom w:val="0"/>
          <w:divBdr>
            <w:top w:val="none" w:sz="0" w:space="0" w:color="auto"/>
            <w:left w:val="none" w:sz="0" w:space="0" w:color="auto"/>
            <w:bottom w:val="none" w:sz="0" w:space="0" w:color="auto"/>
            <w:right w:val="none" w:sz="0" w:space="0" w:color="auto"/>
          </w:divBdr>
        </w:div>
        <w:div w:id="1102460677">
          <w:marLeft w:val="0"/>
          <w:marRight w:val="0"/>
          <w:marTop w:val="0"/>
          <w:marBottom w:val="0"/>
          <w:divBdr>
            <w:top w:val="none" w:sz="0" w:space="0" w:color="auto"/>
            <w:left w:val="none" w:sz="0" w:space="0" w:color="auto"/>
            <w:bottom w:val="none" w:sz="0" w:space="0" w:color="auto"/>
            <w:right w:val="none" w:sz="0" w:space="0" w:color="auto"/>
          </w:divBdr>
        </w:div>
        <w:div w:id="1183280145">
          <w:marLeft w:val="0"/>
          <w:marRight w:val="0"/>
          <w:marTop w:val="0"/>
          <w:marBottom w:val="0"/>
          <w:divBdr>
            <w:top w:val="none" w:sz="0" w:space="0" w:color="auto"/>
            <w:left w:val="none" w:sz="0" w:space="0" w:color="auto"/>
            <w:bottom w:val="none" w:sz="0" w:space="0" w:color="auto"/>
            <w:right w:val="none" w:sz="0" w:space="0" w:color="auto"/>
          </w:divBdr>
        </w:div>
      </w:divsChild>
    </w:div>
    <w:div w:id="1273513207">
      <w:bodyDiv w:val="1"/>
      <w:marLeft w:val="0"/>
      <w:marRight w:val="0"/>
      <w:marTop w:val="0"/>
      <w:marBottom w:val="0"/>
      <w:divBdr>
        <w:top w:val="none" w:sz="0" w:space="0" w:color="auto"/>
        <w:left w:val="none" w:sz="0" w:space="0" w:color="auto"/>
        <w:bottom w:val="none" w:sz="0" w:space="0" w:color="auto"/>
        <w:right w:val="none" w:sz="0" w:space="0" w:color="auto"/>
      </w:divBdr>
      <w:divsChild>
        <w:div w:id="92285959">
          <w:marLeft w:val="0"/>
          <w:marRight w:val="0"/>
          <w:marTop w:val="0"/>
          <w:marBottom w:val="160"/>
          <w:divBdr>
            <w:top w:val="none" w:sz="0" w:space="0" w:color="auto"/>
            <w:left w:val="none" w:sz="0" w:space="0" w:color="auto"/>
            <w:bottom w:val="none" w:sz="0" w:space="0" w:color="auto"/>
            <w:right w:val="none" w:sz="0" w:space="0" w:color="auto"/>
          </w:divBdr>
        </w:div>
        <w:div w:id="689919408">
          <w:marLeft w:val="0"/>
          <w:marRight w:val="0"/>
          <w:marTop w:val="0"/>
          <w:marBottom w:val="160"/>
          <w:divBdr>
            <w:top w:val="none" w:sz="0" w:space="0" w:color="auto"/>
            <w:left w:val="none" w:sz="0" w:space="0" w:color="auto"/>
            <w:bottom w:val="none" w:sz="0" w:space="0" w:color="auto"/>
            <w:right w:val="none" w:sz="0" w:space="0" w:color="auto"/>
          </w:divBdr>
        </w:div>
        <w:div w:id="1400441634">
          <w:marLeft w:val="0"/>
          <w:marRight w:val="0"/>
          <w:marTop w:val="0"/>
          <w:marBottom w:val="160"/>
          <w:divBdr>
            <w:top w:val="none" w:sz="0" w:space="0" w:color="auto"/>
            <w:left w:val="none" w:sz="0" w:space="0" w:color="auto"/>
            <w:bottom w:val="none" w:sz="0" w:space="0" w:color="auto"/>
            <w:right w:val="none" w:sz="0" w:space="0" w:color="auto"/>
          </w:divBdr>
        </w:div>
        <w:div w:id="779567599">
          <w:marLeft w:val="0"/>
          <w:marRight w:val="0"/>
          <w:marTop w:val="0"/>
          <w:marBottom w:val="0"/>
          <w:divBdr>
            <w:top w:val="none" w:sz="0" w:space="0" w:color="auto"/>
            <w:left w:val="none" w:sz="0" w:space="0" w:color="auto"/>
            <w:bottom w:val="none" w:sz="0" w:space="0" w:color="auto"/>
            <w:right w:val="none" w:sz="0" w:space="0" w:color="auto"/>
          </w:divBdr>
        </w:div>
        <w:div w:id="340014911">
          <w:marLeft w:val="0"/>
          <w:marRight w:val="0"/>
          <w:marTop w:val="0"/>
          <w:marBottom w:val="0"/>
          <w:divBdr>
            <w:top w:val="none" w:sz="0" w:space="0" w:color="auto"/>
            <w:left w:val="none" w:sz="0" w:space="0" w:color="auto"/>
            <w:bottom w:val="none" w:sz="0" w:space="0" w:color="auto"/>
            <w:right w:val="none" w:sz="0" w:space="0" w:color="auto"/>
          </w:divBdr>
        </w:div>
        <w:div w:id="1353651736">
          <w:marLeft w:val="0"/>
          <w:marRight w:val="0"/>
          <w:marTop w:val="0"/>
          <w:marBottom w:val="0"/>
          <w:divBdr>
            <w:top w:val="none" w:sz="0" w:space="0" w:color="auto"/>
            <w:left w:val="none" w:sz="0" w:space="0" w:color="auto"/>
            <w:bottom w:val="none" w:sz="0" w:space="0" w:color="auto"/>
            <w:right w:val="none" w:sz="0" w:space="0" w:color="auto"/>
          </w:divBdr>
        </w:div>
        <w:div w:id="885219847">
          <w:marLeft w:val="0"/>
          <w:marRight w:val="0"/>
          <w:marTop w:val="0"/>
          <w:marBottom w:val="0"/>
          <w:divBdr>
            <w:top w:val="none" w:sz="0" w:space="0" w:color="auto"/>
            <w:left w:val="none" w:sz="0" w:space="0" w:color="auto"/>
            <w:bottom w:val="none" w:sz="0" w:space="0" w:color="auto"/>
            <w:right w:val="none" w:sz="0" w:space="0" w:color="auto"/>
          </w:divBdr>
        </w:div>
        <w:div w:id="471483259">
          <w:marLeft w:val="0"/>
          <w:marRight w:val="0"/>
          <w:marTop w:val="0"/>
          <w:marBottom w:val="0"/>
          <w:divBdr>
            <w:top w:val="none" w:sz="0" w:space="0" w:color="auto"/>
            <w:left w:val="none" w:sz="0" w:space="0" w:color="auto"/>
            <w:bottom w:val="none" w:sz="0" w:space="0" w:color="auto"/>
            <w:right w:val="none" w:sz="0" w:space="0" w:color="auto"/>
          </w:divBdr>
        </w:div>
        <w:div w:id="1543787286">
          <w:marLeft w:val="0"/>
          <w:marRight w:val="0"/>
          <w:marTop w:val="0"/>
          <w:marBottom w:val="0"/>
          <w:divBdr>
            <w:top w:val="none" w:sz="0" w:space="0" w:color="auto"/>
            <w:left w:val="none" w:sz="0" w:space="0" w:color="auto"/>
            <w:bottom w:val="none" w:sz="0" w:space="0" w:color="auto"/>
            <w:right w:val="none" w:sz="0" w:space="0" w:color="auto"/>
          </w:divBdr>
        </w:div>
        <w:div w:id="373652672">
          <w:marLeft w:val="0"/>
          <w:marRight w:val="0"/>
          <w:marTop w:val="0"/>
          <w:marBottom w:val="0"/>
          <w:divBdr>
            <w:top w:val="none" w:sz="0" w:space="0" w:color="auto"/>
            <w:left w:val="none" w:sz="0" w:space="0" w:color="auto"/>
            <w:bottom w:val="none" w:sz="0" w:space="0" w:color="auto"/>
            <w:right w:val="none" w:sz="0" w:space="0" w:color="auto"/>
          </w:divBdr>
        </w:div>
        <w:div w:id="143394646">
          <w:marLeft w:val="0"/>
          <w:marRight w:val="0"/>
          <w:marTop w:val="0"/>
          <w:marBottom w:val="0"/>
          <w:divBdr>
            <w:top w:val="none" w:sz="0" w:space="0" w:color="auto"/>
            <w:left w:val="none" w:sz="0" w:space="0" w:color="auto"/>
            <w:bottom w:val="none" w:sz="0" w:space="0" w:color="auto"/>
            <w:right w:val="none" w:sz="0" w:space="0" w:color="auto"/>
          </w:divBdr>
        </w:div>
        <w:div w:id="2093894959">
          <w:marLeft w:val="0"/>
          <w:marRight w:val="0"/>
          <w:marTop w:val="0"/>
          <w:marBottom w:val="0"/>
          <w:divBdr>
            <w:top w:val="none" w:sz="0" w:space="0" w:color="auto"/>
            <w:left w:val="none" w:sz="0" w:space="0" w:color="auto"/>
            <w:bottom w:val="none" w:sz="0" w:space="0" w:color="auto"/>
            <w:right w:val="none" w:sz="0" w:space="0" w:color="auto"/>
          </w:divBdr>
        </w:div>
        <w:div w:id="845441007">
          <w:marLeft w:val="0"/>
          <w:marRight w:val="0"/>
          <w:marTop w:val="0"/>
          <w:marBottom w:val="0"/>
          <w:divBdr>
            <w:top w:val="none" w:sz="0" w:space="0" w:color="auto"/>
            <w:left w:val="none" w:sz="0" w:space="0" w:color="auto"/>
            <w:bottom w:val="none" w:sz="0" w:space="0" w:color="auto"/>
            <w:right w:val="none" w:sz="0" w:space="0" w:color="auto"/>
          </w:divBdr>
        </w:div>
        <w:div w:id="1630818547">
          <w:marLeft w:val="0"/>
          <w:marRight w:val="0"/>
          <w:marTop w:val="0"/>
          <w:marBottom w:val="0"/>
          <w:divBdr>
            <w:top w:val="none" w:sz="0" w:space="0" w:color="auto"/>
            <w:left w:val="none" w:sz="0" w:space="0" w:color="auto"/>
            <w:bottom w:val="none" w:sz="0" w:space="0" w:color="auto"/>
            <w:right w:val="none" w:sz="0" w:space="0" w:color="auto"/>
          </w:divBdr>
        </w:div>
        <w:div w:id="204220182">
          <w:marLeft w:val="0"/>
          <w:marRight w:val="0"/>
          <w:marTop w:val="0"/>
          <w:marBottom w:val="0"/>
          <w:divBdr>
            <w:top w:val="none" w:sz="0" w:space="0" w:color="auto"/>
            <w:left w:val="none" w:sz="0" w:space="0" w:color="auto"/>
            <w:bottom w:val="none" w:sz="0" w:space="0" w:color="auto"/>
            <w:right w:val="none" w:sz="0" w:space="0" w:color="auto"/>
          </w:divBdr>
        </w:div>
        <w:div w:id="150752761">
          <w:marLeft w:val="0"/>
          <w:marRight w:val="0"/>
          <w:marTop w:val="0"/>
          <w:marBottom w:val="0"/>
          <w:divBdr>
            <w:top w:val="none" w:sz="0" w:space="0" w:color="auto"/>
            <w:left w:val="none" w:sz="0" w:space="0" w:color="auto"/>
            <w:bottom w:val="none" w:sz="0" w:space="0" w:color="auto"/>
            <w:right w:val="none" w:sz="0" w:space="0" w:color="auto"/>
          </w:divBdr>
        </w:div>
        <w:div w:id="1759674106">
          <w:marLeft w:val="0"/>
          <w:marRight w:val="0"/>
          <w:marTop w:val="0"/>
          <w:marBottom w:val="0"/>
          <w:divBdr>
            <w:top w:val="none" w:sz="0" w:space="0" w:color="auto"/>
            <w:left w:val="none" w:sz="0" w:space="0" w:color="auto"/>
            <w:bottom w:val="none" w:sz="0" w:space="0" w:color="auto"/>
            <w:right w:val="none" w:sz="0" w:space="0" w:color="auto"/>
          </w:divBdr>
        </w:div>
        <w:div w:id="1935286001">
          <w:marLeft w:val="0"/>
          <w:marRight w:val="0"/>
          <w:marTop w:val="0"/>
          <w:marBottom w:val="0"/>
          <w:divBdr>
            <w:top w:val="none" w:sz="0" w:space="0" w:color="auto"/>
            <w:left w:val="none" w:sz="0" w:space="0" w:color="auto"/>
            <w:bottom w:val="none" w:sz="0" w:space="0" w:color="auto"/>
            <w:right w:val="none" w:sz="0" w:space="0" w:color="auto"/>
          </w:divBdr>
        </w:div>
        <w:div w:id="576402041">
          <w:marLeft w:val="0"/>
          <w:marRight w:val="0"/>
          <w:marTop w:val="0"/>
          <w:marBottom w:val="0"/>
          <w:divBdr>
            <w:top w:val="none" w:sz="0" w:space="0" w:color="auto"/>
            <w:left w:val="none" w:sz="0" w:space="0" w:color="auto"/>
            <w:bottom w:val="none" w:sz="0" w:space="0" w:color="auto"/>
            <w:right w:val="none" w:sz="0" w:space="0" w:color="auto"/>
          </w:divBdr>
        </w:div>
        <w:div w:id="1403332307">
          <w:marLeft w:val="0"/>
          <w:marRight w:val="0"/>
          <w:marTop w:val="0"/>
          <w:marBottom w:val="0"/>
          <w:divBdr>
            <w:top w:val="none" w:sz="0" w:space="0" w:color="auto"/>
            <w:left w:val="none" w:sz="0" w:space="0" w:color="auto"/>
            <w:bottom w:val="none" w:sz="0" w:space="0" w:color="auto"/>
            <w:right w:val="none" w:sz="0" w:space="0" w:color="auto"/>
          </w:divBdr>
        </w:div>
        <w:div w:id="93594913">
          <w:marLeft w:val="0"/>
          <w:marRight w:val="0"/>
          <w:marTop w:val="0"/>
          <w:marBottom w:val="0"/>
          <w:divBdr>
            <w:top w:val="none" w:sz="0" w:space="0" w:color="auto"/>
            <w:left w:val="none" w:sz="0" w:space="0" w:color="auto"/>
            <w:bottom w:val="none" w:sz="0" w:space="0" w:color="auto"/>
            <w:right w:val="none" w:sz="0" w:space="0" w:color="auto"/>
          </w:divBdr>
        </w:div>
        <w:div w:id="1661078947">
          <w:marLeft w:val="0"/>
          <w:marRight w:val="0"/>
          <w:marTop w:val="0"/>
          <w:marBottom w:val="0"/>
          <w:divBdr>
            <w:top w:val="none" w:sz="0" w:space="0" w:color="auto"/>
            <w:left w:val="none" w:sz="0" w:space="0" w:color="auto"/>
            <w:bottom w:val="none" w:sz="0" w:space="0" w:color="auto"/>
            <w:right w:val="none" w:sz="0" w:space="0" w:color="auto"/>
          </w:divBdr>
        </w:div>
        <w:div w:id="703797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usgs.gov/padusdataexplor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920</Words>
  <Characters>4978</Characters>
  <Application>Microsoft Office Word</Application>
  <DocSecurity>0</DocSecurity>
  <Lines>226</Lines>
  <Paragraphs>72</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dcterms:created xsi:type="dcterms:W3CDTF">2024-09-18T18:49:00Z</dcterms:created>
  <dcterms:modified xsi:type="dcterms:W3CDTF">2024-09-18T20:46:00Z</dcterms:modified>
</cp:coreProperties>
</file>