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FA37" w14:textId="73E2FAAE" w:rsidR="00012E28" w:rsidRPr="004E0EE5" w:rsidRDefault="00012E28" w:rsidP="004E0EE5">
      <w:pPr>
        <w:pStyle w:val="Heading1"/>
        <w:jc w:val="center"/>
      </w:pPr>
      <w:r w:rsidRPr="004E0EE5">
        <w:t>McDowell County Risk Assessment</w:t>
      </w:r>
      <w:r w:rsidR="004E0EE5">
        <w:t>:</w:t>
      </w:r>
      <w:r w:rsidR="004E0EE5">
        <w:br/>
      </w:r>
      <w:r w:rsidR="004E0EE5">
        <w:rPr>
          <w:b/>
          <w:bCs/>
        </w:rPr>
        <w:t xml:space="preserve">Mitigation </w:t>
      </w:r>
      <w:r w:rsidRPr="004E0EE5">
        <w:rPr>
          <w:b/>
          <w:bCs/>
        </w:rPr>
        <w:t>Prioritization of Dilapidated Structures</w:t>
      </w:r>
      <w:r w:rsidR="00E76A94">
        <w:rPr>
          <w:b/>
          <w:bCs/>
        </w:rPr>
        <w:br/>
      </w:r>
      <w:r w:rsidR="00E76A94" w:rsidRPr="00E76A94">
        <w:rPr>
          <w:sz w:val="22"/>
          <w:szCs w:val="22"/>
        </w:rPr>
        <w:t>4/17/2026</w:t>
      </w:r>
      <w:r w:rsidR="004E0EE5">
        <w:rPr>
          <w:b/>
          <w:bCs/>
        </w:rPr>
        <w:t xml:space="preserve"> </w:t>
      </w:r>
    </w:p>
    <w:p w14:paraId="0FC77BAD" w14:textId="77777777" w:rsidR="00E76A94" w:rsidRDefault="00E76A94"/>
    <w:p w14:paraId="26499950" w14:textId="77777777" w:rsidR="00E76A94" w:rsidRDefault="00E76A94"/>
    <w:p w14:paraId="04AFEB91" w14:textId="5DEC41D9" w:rsidR="00012E28" w:rsidRDefault="00E76A94" w:rsidP="00E76A94">
      <w:pPr>
        <w:shd w:val="clear" w:color="auto" w:fill="FAE2D5" w:themeFill="accent2" w:themeFillTint="33"/>
        <w:spacing w:line="240" w:lineRule="auto"/>
      </w:pPr>
      <w:r>
        <w:t xml:space="preserve">A risk assessment prioritization of dilapidated structures </w:t>
      </w:r>
      <w:r w:rsidR="00905036">
        <w:t>in</w:t>
      </w:r>
      <w:r>
        <w:t xml:space="preserve"> McDowell County for </w:t>
      </w:r>
      <w:r w:rsidR="00CA54E1">
        <w:t xml:space="preserve">flood </w:t>
      </w:r>
      <w:r>
        <w:t>buyout mitigation was performed by the WVU GIS Technical Center.  Findings of the risk assessment are below along with a spreadsheet and online web map for viewing the results of the prioritization assessment.</w:t>
      </w:r>
      <w:r w:rsidR="00CA54E1">
        <w:t xml:space="preserve">  The primary flood risk factor</w:t>
      </w:r>
      <w:r w:rsidR="007B2B55">
        <w:t xml:space="preserve"> of the risk assessment</w:t>
      </w:r>
      <w:r w:rsidR="00CA54E1">
        <w:t xml:space="preserve"> was the model-backed </w:t>
      </w:r>
      <w:r w:rsidR="00CA54E1" w:rsidRPr="007B2B55">
        <w:rPr>
          <w:b/>
          <w:bCs/>
        </w:rPr>
        <w:t>flood depth</w:t>
      </w:r>
      <w:r w:rsidR="00CA54E1">
        <w:t xml:space="preserve"> from the 2024 FEMA Draft flood maps.  Other variables such as the </w:t>
      </w:r>
      <w:r w:rsidR="007B2B55" w:rsidRPr="00905036">
        <w:rPr>
          <w:i/>
          <w:iCs/>
        </w:rPr>
        <w:t>Floodway</w:t>
      </w:r>
      <w:r w:rsidR="007B2B55">
        <w:t xml:space="preserve"> and </w:t>
      </w:r>
      <w:r w:rsidR="007B2B55" w:rsidRPr="00905036">
        <w:rPr>
          <w:i/>
          <w:iCs/>
        </w:rPr>
        <w:t>Adjacency to Existing Buyout Parcel</w:t>
      </w:r>
      <w:r w:rsidR="007B2B55">
        <w:t xml:space="preserve"> were also examined.</w:t>
      </w:r>
    </w:p>
    <w:p w14:paraId="7AFF2927" w14:textId="708B66BB" w:rsidR="00E76A94" w:rsidRDefault="00E76A94" w:rsidP="00E76A94">
      <w:pPr>
        <w:spacing w:line="240" w:lineRule="auto"/>
        <w:rPr>
          <w:rFonts w:cs="Calibri"/>
          <w:b/>
          <w:bCs/>
          <w:highlight w:val="yellow"/>
        </w:rPr>
      </w:pPr>
      <w:r>
        <w:rPr>
          <w:rFonts w:cs="Calibri"/>
          <w:b/>
          <w:bCs/>
          <w:highlight w:val="yellow"/>
        </w:rPr>
        <w:br/>
      </w:r>
    </w:p>
    <w:p w14:paraId="7650854B" w14:textId="2D2EE475" w:rsidR="00012E28" w:rsidRPr="004E0EE5" w:rsidRDefault="00E76A94" w:rsidP="00E76A94">
      <w:pPr>
        <w:spacing w:line="240" w:lineRule="auto"/>
        <w:rPr>
          <w:rFonts w:cs="Calibri"/>
          <w:b/>
          <w:bCs/>
        </w:rPr>
      </w:pPr>
      <w:r>
        <w:rPr>
          <w:rFonts w:cs="Calibri"/>
          <w:b/>
          <w:bCs/>
          <w:highlight w:val="yellow"/>
        </w:rPr>
        <w:br/>
      </w:r>
      <w:r w:rsidR="004B51DA" w:rsidRPr="004E0EE5">
        <w:rPr>
          <w:rFonts w:cs="Calibri"/>
          <w:b/>
          <w:bCs/>
          <w:highlight w:val="yellow"/>
        </w:rPr>
        <w:t xml:space="preserve">&lt;&lt; </w:t>
      </w:r>
      <w:r w:rsidR="00294DD8" w:rsidRPr="004E0EE5">
        <w:rPr>
          <w:rFonts w:cs="Calibri"/>
          <w:b/>
          <w:bCs/>
          <w:highlight w:val="yellow"/>
        </w:rPr>
        <w:t>RISK FINDINGS</w:t>
      </w:r>
      <w:r w:rsidR="004B51DA" w:rsidRPr="004E0EE5">
        <w:rPr>
          <w:rFonts w:cs="Calibri"/>
          <w:b/>
          <w:bCs/>
          <w:highlight w:val="yellow"/>
        </w:rPr>
        <w:t xml:space="preserve"> &gt;&gt;</w:t>
      </w:r>
    </w:p>
    <w:p w14:paraId="502BA0EB" w14:textId="12989230" w:rsidR="00012E28" w:rsidRPr="004E0EE5" w:rsidRDefault="00294DD8" w:rsidP="00E76A94">
      <w:pPr>
        <w:spacing w:line="240" w:lineRule="auto"/>
        <w:rPr>
          <w:rFonts w:cs="Calibri"/>
          <w:u w:val="single"/>
        </w:rPr>
      </w:pPr>
      <w:r w:rsidRPr="004E0EE5">
        <w:rPr>
          <w:rFonts w:cs="Calibri"/>
          <w:u w:val="single"/>
        </w:rPr>
        <w:t xml:space="preserve">Structure Counts and </w:t>
      </w:r>
      <w:r w:rsidR="00012E28" w:rsidRPr="004E0EE5">
        <w:rPr>
          <w:rFonts w:cs="Calibri"/>
          <w:u w:val="single"/>
        </w:rPr>
        <w:t xml:space="preserve">Data Quality:  </w:t>
      </w:r>
    </w:p>
    <w:p w14:paraId="42768152" w14:textId="128AF71F" w:rsidR="00012E28" w:rsidRDefault="00012E28" w:rsidP="00E76A94">
      <w:pPr>
        <w:numPr>
          <w:ilvl w:val="0"/>
          <w:numId w:val="2"/>
        </w:numPr>
        <w:spacing w:line="240" w:lineRule="auto"/>
        <w:rPr>
          <w:rFonts w:cs="Calibri"/>
        </w:rPr>
      </w:pPr>
      <w:r w:rsidRPr="004E0EE5">
        <w:rPr>
          <w:rFonts w:cs="Calibri"/>
          <w:i/>
          <w:iCs/>
        </w:rPr>
        <w:t>Structure Counts</w:t>
      </w:r>
      <w:r>
        <w:rPr>
          <w:rFonts w:cs="Calibri"/>
        </w:rPr>
        <w:t>.</w:t>
      </w:r>
      <w:r w:rsidR="009F7759">
        <w:rPr>
          <w:rFonts w:cs="Calibri"/>
        </w:rPr>
        <w:t xml:space="preserve">  </w:t>
      </w:r>
      <w:r w:rsidR="009F7759" w:rsidRPr="009F7759">
        <w:rPr>
          <w:rFonts w:cs="Calibri"/>
        </w:rPr>
        <w:t>The dataset provided by McDowell County included</w:t>
      </w:r>
      <w:r w:rsidR="009F7759">
        <w:rPr>
          <w:rFonts w:cs="Calibri"/>
        </w:rPr>
        <w:t xml:space="preserve"> </w:t>
      </w:r>
      <w:r w:rsidR="009F7759" w:rsidRPr="009F7759">
        <w:rPr>
          <w:rFonts w:cs="Calibri"/>
        </w:rPr>
        <w:t>73 dilapidated structures in McDowell County proposed for open-space mitigation.  Of these, 61 structures are in the high-risk floodplain, 8 are outside the floodplain, and 4 could not be identified.</w:t>
      </w:r>
    </w:p>
    <w:p w14:paraId="48109D3F" w14:textId="2EE37238" w:rsidR="00012E28" w:rsidRDefault="00012E28" w:rsidP="00E76A94">
      <w:pPr>
        <w:numPr>
          <w:ilvl w:val="0"/>
          <w:numId w:val="2"/>
        </w:numPr>
        <w:spacing w:line="240" w:lineRule="auto"/>
        <w:rPr>
          <w:rFonts w:cs="Calibri"/>
        </w:rPr>
      </w:pPr>
      <w:r w:rsidRPr="00153B79">
        <w:rPr>
          <w:rFonts w:cs="Calibri"/>
          <w:i/>
          <w:iCs/>
        </w:rPr>
        <w:t>Structures</w:t>
      </w:r>
      <w:r w:rsidR="00C465B8" w:rsidRPr="00153B79">
        <w:rPr>
          <w:rFonts w:cs="Calibri"/>
          <w:i/>
          <w:iCs/>
        </w:rPr>
        <w:t xml:space="preserve"> Not Mappable</w:t>
      </w:r>
      <w:r w:rsidRPr="00153B79">
        <w:rPr>
          <w:rFonts w:cs="Calibri"/>
        </w:rPr>
        <w:t xml:space="preserve">.  </w:t>
      </w:r>
      <w:r w:rsidRPr="00012E28">
        <w:rPr>
          <w:rFonts w:cs="Calibri"/>
        </w:rPr>
        <w:t xml:space="preserve">The x/y </w:t>
      </w:r>
      <w:r>
        <w:rPr>
          <w:rFonts w:cs="Calibri"/>
        </w:rPr>
        <w:t xml:space="preserve">decimal </w:t>
      </w:r>
      <w:r w:rsidRPr="00012E28">
        <w:rPr>
          <w:rFonts w:cs="Calibri"/>
        </w:rPr>
        <w:t>coordinates p</w:t>
      </w:r>
      <w:r>
        <w:rPr>
          <w:rFonts w:cs="Calibri"/>
        </w:rPr>
        <w:t>rovided only have 4 significant digits</w:t>
      </w:r>
      <w:r w:rsidR="00153B79">
        <w:rPr>
          <w:rFonts w:cs="Calibri"/>
        </w:rPr>
        <w:t xml:space="preserve"> and thus could not be utilized to pinpoint the site location</w:t>
      </w:r>
      <w:r>
        <w:rPr>
          <w:rFonts w:cs="Calibri"/>
        </w:rPr>
        <w:t xml:space="preserve">.  </w:t>
      </w:r>
      <w:r w:rsidR="00294DD8" w:rsidRPr="00294DD8">
        <w:rPr>
          <w:rFonts w:cs="Calibri"/>
        </w:rPr>
        <w:t>The Latitude/Longitude coordinates in Decimal Degrees should always be reported in 6 decimal places of precision</w:t>
      </w:r>
      <w:r w:rsidR="00294DD8">
        <w:rPr>
          <w:rFonts w:cs="Calibri"/>
        </w:rPr>
        <w:t xml:space="preserve"> to accurately locate the structures.  I</w:t>
      </w:r>
      <w:r w:rsidR="00153B79">
        <w:rPr>
          <w:rFonts w:cs="Calibri"/>
        </w:rPr>
        <w:t>n</w:t>
      </w:r>
      <w:r w:rsidR="00294DD8">
        <w:rPr>
          <w:rFonts w:cs="Calibri"/>
        </w:rPr>
        <w:t xml:space="preserve"> addition to Latitude/Longitude coordinates, the GIS Parcel Identifier</w:t>
      </w:r>
      <w:r w:rsidR="00CA54E1">
        <w:rPr>
          <w:rFonts w:cs="Calibri"/>
        </w:rPr>
        <w:t xml:space="preserve">, Building ID, </w:t>
      </w:r>
      <w:r w:rsidR="00294DD8">
        <w:rPr>
          <w:rFonts w:cs="Calibri"/>
        </w:rPr>
        <w:t>and other supplemental spatial identifiers like Owner Name</w:t>
      </w:r>
      <w:r w:rsidR="00CA54E1">
        <w:rPr>
          <w:rFonts w:cs="Calibri"/>
        </w:rPr>
        <w:t xml:space="preserve"> captured from the WV Flood Tool</w:t>
      </w:r>
      <w:r w:rsidR="00294DD8">
        <w:rPr>
          <w:rFonts w:cs="Calibri"/>
        </w:rPr>
        <w:t xml:space="preserve"> should be included to ensure accurate location of the structure.</w:t>
      </w:r>
    </w:p>
    <w:p w14:paraId="4694635C" w14:textId="7A578E83" w:rsidR="00E76A94" w:rsidRDefault="00C465B8" w:rsidP="00E76A94">
      <w:pPr>
        <w:numPr>
          <w:ilvl w:val="0"/>
          <w:numId w:val="2"/>
        </w:numPr>
        <w:spacing w:line="240" w:lineRule="auto"/>
        <w:rPr>
          <w:rFonts w:cs="Calibri"/>
        </w:rPr>
      </w:pPr>
      <w:r w:rsidRPr="00C465B8">
        <w:rPr>
          <w:rFonts w:cs="Calibri"/>
          <w:i/>
          <w:iCs/>
        </w:rPr>
        <w:t>Data Inconsistencies</w:t>
      </w:r>
      <w:r>
        <w:rPr>
          <w:rFonts w:cs="Calibri"/>
        </w:rPr>
        <w:t>.  The source attributes (e.g., building year, appraisal value) do not always match Tax Year 2025 tax assessment attributes.  User</w:t>
      </w:r>
      <w:r w:rsidR="007B2B55">
        <w:rPr>
          <w:rFonts w:cs="Calibri"/>
        </w:rPr>
        <w:t>s</w:t>
      </w:r>
      <w:r>
        <w:rPr>
          <w:rFonts w:cs="Calibri"/>
        </w:rPr>
        <w:t xml:space="preserve"> of this data and findings should ensure the dilapidated structures are pinpointed to the correct geographic locations. </w:t>
      </w:r>
    </w:p>
    <w:p w14:paraId="3E85D761" w14:textId="77777777" w:rsidR="00E76A94" w:rsidRDefault="00E76A94">
      <w:pPr>
        <w:rPr>
          <w:rFonts w:cs="Calibri"/>
        </w:rPr>
      </w:pPr>
      <w:r>
        <w:rPr>
          <w:rFonts w:cs="Calibri"/>
        </w:rPr>
        <w:br w:type="page"/>
      </w:r>
    </w:p>
    <w:p w14:paraId="6B742B30" w14:textId="7E887C2A" w:rsidR="00294DD8" w:rsidRPr="004E0EE5" w:rsidRDefault="00294DD8" w:rsidP="00E76A94">
      <w:pPr>
        <w:spacing w:line="240" w:lineRule="auto"/>
        <w:rPr>
          <w:rFonts w:cs="Calibri"/>
          <w:u w:val="single"/>
        </w:rPr>
      </w:pPr>
      <w:r w:rsidRPr="004E0EE5">
        <w:rPr>
          <w:rFonts w:cs="Calibri"/>
          <w:u w:val="single"/>
        </w:rPr>
        <w:lastRenderedPageBreak/>
        <w:t xml:space="preserve">Risk Assessment </w:t>
      </w:r>
      <w:r w:rsidR="00747766">
        <w:rPr>
          <w:rFonts w:cs="Calibri"/>
          <w:u w:val="single"/>
        </w:rPr>
        <w:t>Map Layers</w:t>
      </w:r>
    </w:p>
    <w:p w14:paraId="0650DEB4" w14:textId="50154088" w:rsidR="0040718F" w:rsidRDefault="00294DD8" w:rsidP="00E76A94">
      <w:pPr>
        <w:numPr>
          <w:ilvl w:val="0"/>
          <w:numId w:val="2"/>
        </w:numPr>
        <w:spacing w:line="240" w:lineRule="auto"/>
        <w:rPr>
          <w:rFonts w:cs="Calibri"/>
        </w:rPr>
      </w:pPr>
      <w:r w:rsidRPr="00CA54E1">
        <w:rPr>
          <w:rFonts w:cs="Calibri"/>
          <w:i/>
          <w:iCs/>
        </w:rPr>
        <w:t>Flood Depth</w:t>
      </w:r>
      <w:r w:rsidRPr="00CA54E1">
        <w:rPr>
          <w:rFonts w:cs="Calibri"/>
        </w:rPr>
        <w:t>.  The primary risk factor utilized for prioritizing dilapidated structures is Flood Depth</w:t>
      </w:r>
      <w:r w:rsidR="00C52029" w:rsidRPr="00CA54E1">
        <w:rPr>
          <w:rFonts w:cs="Calibri"/>
        </w:rPr>
        <w:t xml:space="preserve"> of a 1% annual chance flood event</w:t>
      </w:r>
      <w:r w:rsidRPr="00CA54E1">
        <w:rPr>
          <w:rFonts w:cs="Calibri"/>
        </w:rPr>
        <w:t xml:space="preserve"> from the recently released 2024 FEMA Draft Floodplains.</w:t>
      </w:r>
      <w:r w:rsidR="00905036" w:rsidRPr="00905036">
        <w:t xml:space="preserve"> </w:t>
      </w:r>
      <w:r w:rsidR="0040718F" w:rsidRPr="0040718F">
        <w:rPr>
          <w:rFonts w:cs="Calibri"/>
        </w:rPr>
        <w:t>Floodwater depth is widely considered the most critical element in planning and designing flood mitigation because it dictates the magnitude of hydrostatic pressure on a structure and is the primary factor in determining the cost and extent of potential damage</w:t>
      </w:r>
      <w:r w:rsidR="0040718F">
        <w:rPr>
          <w:rFonts w:cs="Calibri"/>
        </w:rPr>
        <w:t xml:space="preserve">.  </w:t>
      </w:r>
      <w:r w:rsidR="0040718F" w:rsidRPr="00CA54E1">
        <w:rPr>
          <w:rFonts w:cs="Calibri"/>
          <w:i/>
          <w:iCs/>
        </w:rPr>
        <w:t xml:space="preserve">Symbolized on web map as </w:t>
      </w:r>
      <w:r w:rsidR="0040718F" w:rsidRPr="00CA54E1">
        <w:rPr>
          <w:i/>
          <w:iCs/>
        </w:rPr>
        <w:t>proportional circles (red-orange-yellow-tan).</w:t>
      </w:r>
    </w:p>
    <w:p w14:paraId="7F718FEF" w14:textId="6DCBCAF4" w:rsidR="0040718F" w:rsidRDefault="0040718F" w:rsidP="0040718F">
      <w:pPr>
        <w:numPr>
          <w:ilvl w:val="1"/>
          <w:numId w:val="2"/>
        </w:numPr>
        <w:spacing w:line="240" w:lineRule="auto"/>
        <w:rPr>
          <w:rFonts w:cs="Calibri"/>
        </w:rPr>
      </w:pPr>
      <w:r>
        <w:rPr>
          <w:rFonts w:cs="Calibri"/>
        </w:rPr>
        <w:t>F</w:t>
      </w:r>
      <w:r w:rsidRPr="0040718F">
        <w:rPr>
          <w:rFonts w:cs="Calibri"/>
        </w:rPr>
        <w:t>lood depth</w:t>
      </w:r>
      <w:r>
        <w:rPr>
          <w:rFonts w:cs="Calibri"/>
        </w:rPr>
        <w:t>s</w:t>
      </w:r>
      <w:r w:rsidRPr="0040718F">
        <w:rPr>
          <w:rFonts w:cs="Calibri"/>
        </w:rPr>
        <w:t xml:space="preserve"> for the top 10 high-priority structures ranges from 4.1 to 8.0 feet. (column M: Flood</w:t>
      </w:r>
      <w:r>
        <w:rPr>
          <w:rFonts w:cs="Calibri"/>
        </w:rPr>
        <w:t xml:space="preserve"> </w:t>
      </w:r>
      <w:r w:rsidRPr="0040718F">
        <w:rPr>
          <w:rFonts w:cs="Calibri"/>
        </w:rPr>
        <w:t xml:space="preserve">Depth (Ranking Variable) in the </w:t>
      </w:r>
      <w:r>
        <w:rPr>
          <w:rFonts w:cs="Calibri"/>
        </w:rPr>
        <w:t xml:space="preserve">spreadsheet </w:t>
      </w:r>
      <w:r w:rsidRPr="0040718F">
        <w:rPr>
          <w:rFonts w:cs="Calibri"/>
        </w:rPr>
        <w:t>table)</w:t>
      </w:r>
    </w:p>
    <w:p w14:paraId="1039A575" w14:textId="4DE0ACB1" w:rsidR="0040718F" w:rsidRDefault="0040718F" w:rsidP="0040718F">
      <w:pPr>
        <w:numPr>
          <w:ilvl w:val="1"/>
          <w:numId w:val="2"/>
        </w:numPr>
        <w:spacing w:line="240" w:lineRule="auto"/>
        <w:rPr>
          <w:rFonts w:cs="Calibri"/>
        </w:rPr>
      </w:pPr>
      <w:r>
        <w:rPr>
          <w:rFonts w:cs="Calibri"/>
        </w:rPr>
        <w:t>F</w:t>
      </w:r>
      <w:r w:rsidR="00C52029" w:rsidRPr="00CA54E1">
        <w:rPr>
          <w:rFonts w:cs="Calibri"/>
        </w:rPr>
        <w:t>lood depths</w:t>
      </w:r>
      <w:r w:rsidR="00905036">
        <w:rPr>
          <w:rFonts w:cs="Calibri"/>
        </w:rPr>
        <w:t xml:space="preserve"> of the mapped dilapidated structures</w:t>
      </w:r>
      <w:r w:rsidR="00C52029" w:rsidRPr="00CA54E1">
        <w:rPr>
          <w:rFonts w:cs="Calibri"/>
        </w:rPr>
        <w:t xml:space="preserve"> range from 0 to 8 feet, with seven flood depths that exceed 5 feet, </w:t>
      </w:r>
      <w:r w:rsidR="00905036">
        <w:rPr>
          <w:rFonts w:cs="Calibri"/>
        </w:rPr>
        <w:t>of which</w:t>
      </w:r>
      <w:r w:rsidR="00C52029" w:rsidRPr="00CA54E1">
        <w:rPr>
          <w:rFonts w:cs="Calibri"/>
        </w:rPr>
        <w:t xml:space="preserve"> four of these structures </w:t>
      </w:r>
      <w:r w:rsidR="009F7759" w:rsidRPr="00CA54E1">
        <w:rPr>
          <w:rFonts w:cs="Calibri"/>
        </w:rPr>
        <w:t>are in</w:t>
      </w:r>
      <w:r w:rsidR="00C52029" w:rsidRPr="00CA54E1">
        <w:rPr>
          <w:rFonts w:cs="Calibri"/>
        </w:rPr>
        <w:t xml:space="preserve"> the Regulatory Floodway.</w:t>
      </w:r>
    </w:p>
    <w:p w14:paraId="384C955E" w14:textId="77777777" w:rsidR="0040718F" w:rsidRDefault="00CA54E1" w:rsidP="0040718F">
      <w:pPr>
        <w:numPr>
          <w:ilvl w:val="1"/>
          <w:numId w:val="2"/>
        </w:numPr>
        <w:spacing w:line="240" w:lineRule="auto"/>
        <w:rPr>
          <w:rFonts w:cs="Calibri"/>
        </w:rPr>
      </w:pPr>
      <w:r w:rsidRPr="00CA54E1">
        <w:rPr>
          <w:rFonts w:cs="Calibri"/>
        </w:rPr>
        <w:t>The structure (Building</w:t>
      </w:r>
      <w:r>
        <w:rPr>
          <w:rFonts w:cs="Calibri"/>
        </w:rPr>
        <w:t xml:space="preserve"> ID</w:t>
      </w:r>
      <w:r w:rsidRPr="00CA54E1">
        <w:rPr>
          <w:rFonts w:cs="Calibri"/>
        </w:rPr>
        <w:t xml:space="preserve"> </w:t>
      </w:r>
      <w:hyperlink r:id="rId7" w:history="1">
        <w:r w:rsidRPr="00CA54E1">
          <w:rPr>
            <w:rStyle w:val="Hyperlink"/>
            <w:rFonts w:cs="Calibri"/>
            <w:color w:val="0070C0"/>
          </w:rPr>
          <w:t>27-15-0002-0249-0000_60</w:t>
        </w:r>
      </w:hyperlink>
      <w:r w:rsidRPr="00CA54E1">
        <w:rPr>
          <w:rFonts w:cs="Calibri"/>
        </w:rPr>
        <w:t>) with the highest flood depth is not in the Floodway but located along Browns Creek and affected by the backwater flooding of the Tug Fork.</w:t>
      </w:r>
    </w:p>
    <w:p w14:paraId="52B86385" w14:textId="69035CE5" w:rsidR="00C52029" w:rsidRPr="00CA54E1" w:rsidRDefault="0040718F" w:rsidP="0040718F">
      <w:pPr>
        <w:numPr>
          <w:ilvl w:val="1"/>
          <w:numId w:val="2"/>
        </w:numPr>
        <w:spacing w:line="240" w:lineRule="auto"/>
        <w:rPr>
          <w:rFonts w:cs="Calibri"/>
        </w:rPr>
      </w:pPr>
      <w:r w:rsidRPr="0040718F">
        <w:rPr>
          <w:rFonts w:cs="Calibri"/>
        </w:rPr>
        <w:t xml:space="preserve">Regarding the distribution, as shown </w:t>
      </w:r>
      <w:r w:rsidR="00E23588">
        <w:rPr>
          <w:rFonts w:cs="Calibri"/>
        </w:rPr>
        <w:t>on</w:t>
      </w:r>
      <w:r w:rsidRPr="0040718F">
        <w:rPr>
          <w:rFonts w:cs="Calibri"/>
        </w:rPr>
        <w:t xml:space="preserve"> the </w:t>
      </w:r>
      <w:r>
        <w:rPr>
          <w:rFonts w:cs="Calibri"/>
        </w:rPr>
        <w:t xml:space="preserve">web </w:t>
      </w:r>
      <w:r w:rsidRPr="0040718F">
        <w:rPr>
          <w:rFonts w:cs="Calibri"/>
        </w:rPr>
        <w:t xml:space="preserve">map tool, the </w:t>
      </w:r>
      <w:r>
        <w:rPr>
          <w:rFonts w:cs="Calibri"/>
        </w:rPr>
        <w:t xml:space="preserve">dilapidated </w:t>
      </w:r>
      <w:r w:rsidRPr="0040718F">
        <w:rPr>
          <w:rFonts w:cs="Calibri"/>
        </w:rPr>
        <w:t xml:space="preserve">structures with the </w:t>
      </w:r>
      <w:r>
        <w:rPr>
          <w:rFonts w:cs="Calibri"/>
        </w:rPr>
        <w:t xml:space="preserve">recommended </w:t>
      </w:r>
      <w:r w:rsidRPr="0040718F">
        <w:rPr>
          <w:rFonts w:cs="Calibri"/>
        </w:rPr>
        <w:t>highest</w:t>
      </w:r>
      <w:r>
        <w:rPr>
          <w:rFonts w:cs="Calibri"/>
        </w:rPr>
        <w:t xml:space="preserve"> </w:t>
      </w:r>
      <w:r w:rsidRPr="0040718F">
        <w:rPr>
          <w:rFonts w:cs="Calibri"/>
        </w:rPr>
        <w:t xml:space="preserve">mitigation priority are dispersed across different parts of </w:t>
      </w:r>
      <w:r>
        <w:rPr>
          <w:rFonts w:cs="Calibri"/>
        </w:rPr>
        <w:t xml:space="preserve">McDowell County and </w:t>
      </w:r>
      <w:r w:rsidR="00306E98">
        <w:rPr>
          <w:rFonts w:cs="Calibri"/>
        </w:rPr>
        <w:t xml:space="preserve">with </w:t>
      </w:r>
      <w:r>
        <w:rPr>
          <w:rFonts w:cs="Calibri"/>
        </w:rPr>
        <w:t>unique flood sources</w:t>
      </w:r>
      <w:r w:rsidRPr="0040718F">
        <w:rPr>
          <w:rFonts w:cs="Calibri"/>
        </w:rPr>
        <w:t>.</w:t>
      </w:r>
      <w:r w:rsidR="00CA54E1" w:rsidRPr="00CA54E1">
        <w:rPr>
          <w:rFonts w:cs="Calibri"/>
        </w:rPr>
        <w:t xml:space="preserve"> </w:t>
      </w:r>
    </w:p>
    <w:p w14:paraId="30534C28" w14:textId="4AD4AE2F" w:rsidR="00C465B8" w:rsidRDefault="00C465B8" w:rsidP="00E76A94">
      <w:pPr>
        <w:numPr>
          <w:ilvl w:val="0"/>
          <w:numId w:val="2"/>
        </w:numPr>
        <w:spacing w:line="240" w:lineRule="auto"/>
        <w:rPr>
          <w:rFonts w:cs="Calibri"/>
          <w:i/>
          <w:iCs/>
        </w:rPr>
      </w:pPr>
      <w:r w:rsidRPr="00C465B8">
        <w:rPr>
          <w:rFonts w:cs="Calibri"/>
          <w:i/>
          <w:iCs/>
        </w:rPr>
        <w:t>Floodway</w:t>
      </w:r>
      <w:r>
        <w:rPr>
          <w:rFonts w:cs="Calibri"/>
        </w:rPr>
        <w:t>.</w:t>
      </w:r>
      <w:r w:rsidRPr="00C52029">
        <w:rPr>
          <w:rFonts w:cs="Calibri"/>
        </w:rPr>
        <w:t xml:space="preserve">  </w:t>
      </w:r>
      <w:r w:rsidR="009F7759">
        <w:rPr>
          <w:rFonts w:cs="Calibri"/>
        </w:rPr>
        <w:t xml:space="preserve">Thirty percent (30%) or 18 of the mapped structures are in the </w:t>
      </w:r>
      <w:r w:rsidRPr="00C52029">
        <w:rPr>
          <w:rFonts w:cs="Calibri"/>
        </w:rPr>
        <w:t xml:space="preserve">Regulatory </w:t>
      </w:r>
      <w:r w:rsidR="009F7759">
        <w:rPr>
          <w:rFonts w:cs="Calibri"/>
        </w:rPr>
        <w:t>F</w:t>
      </w:r>
      <w:r w:rsidRPr="00C52029">
        <w:rPr>
          <w:rFonts w:cs="Calibri"/>
        </w:rPr>
        <w:t>loodway</w:t>
      </w:r>
      <w:r w:rsidR="009F7759">
        <w:rPr>
          <w:rFonts w:cs="Calibri"/>
        </w:rPr>
        <w:t>,</w:t>
      </w:r>
      <w:r w:rsidRPr="00C52029">
        <w:rPr>
          <w:rFonts w:cs="Calibri"/>
        </w:rPr>
        <w:t xml:space="preserve"> the most hazardous, high-velocity, and deep-flooding portions of a riverine floodplain</w:t>
      </w:r>
      <w:r>
        <w:rPr>
          <w:rFonts w:cs="Calibri"/>
        </w:rPr>
        <w:t xml:space="preserve"> mapped in a detailed AE Zone.  </w:t>
      </w:r>
      <w:r w:rsidRPr="009F7759">
        <w:rPr>
          <w:rFonts w:cs="Calibri"/>
          <w:i/>
          <w:iCs/>
        </w:rPr>
        <w:t>Symbolized on web map as a small black circle or dot.</w:t>
      </w:r>
    </w:p>
    <w:p w14:paraId="5ECF4922" w14:textId="65519FE5" w:rsidR="00747766" w:rsidRPr="00747766" w:rsidRDefault="00747766" w:rsidP="00E76A94">
      <w:pPr>
        <w:pStyle w:val="ListParagraph"/>
        <w:numPr>
          <w:ilvl w:val="0"/>
          <w:numId w:val="2"/>
        </w:numPr>
        <w:spacing w:line="240" w:lineRule="auto"/>
        <w:rPr>
          <w:rFonts w:cs="Calibri"/>
          <w:u w:val="single"/>
        </w:rPr>
      </w:pPr>
      <w:r w:rsidRPr="00747766">
        <w:rPr>
          <w:rFonts w:cs="Calibri"/>
          <w:i/>
          <w:iCs/>
        </w:rPr>
        <w:t>Adjacent to Existing Buyout Parcels</w:t>
      </w:r>
      <w:r w:rsidRPr="00747766">
        <w:rPr>
          <w:rFonts w:cs="Calibri"/>
        </w:rPr>
        <w:t xml:space="preserve">.  13 dilapidated structures are within 100 feet of existing mitigated deed-restricted open-space parcels.  </w:t>
      </w:r>
      <w:r w:rsidR="00905036" w:rsidRPr="00905036">
        <w:rPr>
          <w:rFonts w:cs="Calibri"/>
        </w:rPr>
        <w:t>Contiguous community-owned vacant, open-space parcels can be linked to form a connected network of parks and conserved lands. These assembled sites enhance ecological connectivity, provide recreational opportunities, improve quality of life, and protect local environmental assets.</w:t>
      </w:r>
      <w:r w:rsidR="00905036">
        <w:rPr>
          <w:rFonts w:cs="Calibri"/>
        </w:rPr>
        <w:t xml:space="preserve">  </w:t>
      </w:r>
      <w:r w:rsidRPr="00747766">
        <w:rPr>
          <w:rFonts w:cs="Calibri"/>
          <w:i/>
          <w:iCs/>
        </w:rPr>
        <w:t>Symbolized on the web map as a green circle.</w:t>
      </w:r>
      <w:r w:rsidRPr="00747766">
        <w:rPr>
          <w:rFonts w:cs="Calibri"/>
          <w:i/>
          <w:iCs/>
        </w:rPr>
        <w:br/>
      </w:r>
    </w:p>
    <w:p w14:paraId="586C21AF" w14:textId="5FC0173C" w:rsidR="00747766" w:rsidRPr="00747766" w:rsidRDefault="00747766" w:rsidP="00E76A94">
      <w:pPr>
        <w:spacing w:line="240" w:lineRule="auto"/>
        <w:rPr>
          <w:rFonts w:cs="Calibri"/>
          <w:u w:val="single"/>
        </w:rPr>
      </w:pPr>
      <w:r>
        <w:rPr>
          <w:rFonts w:cs="Calibri"/>
          <w:u w:val="single"/>
        </w:rPr>
        <w:t>Other Risk Assessment Notes</w:t>
      </w:r>
    </w:p>
    <w:p w14:paraId="3212A51C" w14:textId="77777777" w:rsidR="00747766" w:rsidRDefault="00747766" w:rsidP="00E76A94">
      <w:pPr>
        <w:numPr>
          <w:ilvl w:val="0"/>
          <w:numId w:val="2"/>
        </w:numPr>
        <w:spacing w:line="240" w:lineRule="auto"/>
        <w:rPr>
          <w:rFonts w:cs="Calibri"/>
        </w:rPr>
      </w:pPr>
      <w:r w:rsidRPr="00C465B8">
        <w:rPr>
          <w:rFonts w:cs="Calibri"/>
          <w:i/>
          <w:iCs/>
        </w:rPr>
        <w:t>Flood Source</w:t>
      </w:r>
      <w:r>
        <w:rPr>
          <w:rFonts w:cs="Calibri"/>
        </w:rPr>
        <w:t xml:space="preserve">.  </w:t>
      </w:r>
      <w:r w:rsidRPr="00C52029">
        <w:rPr>
          <w:rFonts w:cs="Calibri"/>
        </w:rPr>
        <w:t xml:space="preserve">The </w:t>
      </w:r>
      <w:r>
        <w:rPr>
          <w:rFonts w:cs="Calibri"/>
        </w:rPr>
        <w:t>most common</w:t>
      </w:r>
      <w:r w:rsidRPr="00C52029">
        <w:rPr>
          <w:rFonts w:cs="Calibri"/>
        </w:rPr>
        <w:t xml:space="preserve"> flood source</w:t>
      </w:r>
      <w:r>
        <w:rPr>
          <w:rFonts w:cs="Calibri"/>
        </w:rPr>
        <w:t xml:space="preserve"> of the mapped dilapidated structures</w:t>
      </w:r>
      <w:r w:rsidRPr="00C52029">
        <w:rPr>
          <w:rFonts w:cs="Calibri"/>
        </w:rPr>
        <w:t xml:space="preserve"> is Dry Fork (24.6%), followed by Tug Fork (19.6%)</w:t>
      </w:r>
      <w:r>
        <w:rPr>
          <w:rFonts w:cs="Calibri"/>
        </w:rPr>
        <w:t xml:space="preserve"> and Elkhorn Creek (16.4%)</w:t>
      </w:r>
      <w:r w:rsidRPr="00C52029">
        <w:rPr>
          <w:rFonts w:cs="Calibri"/>
        </w:rPr>
        <w:t>.</w:t>
      </w:r>
    </w:p>
    <w:p w14:paraId="5C853330" w14:textId="388D45A3" w:rsidR="00CC6ED9" w:rsidRDefault="00CC6ED9" w:rsidP="00E76A94">
      <w:pPr>
        <w:numPr>
          <w:ilvl w:val="0"/>
          <w:numId w:val="2"/>
        </w:numPr>
        <w:spacing w:line="240" w:lineRule="auto"/>
        <w:rPr>
          <w:rFonts w:cs="Calibri"/>
        </w:rPr>
      </w:pPr>
      <w:r w:rsidRPr="009F7759">
        <w:rPr>
          <w:rFonts w:cs="Calibri"/>
          <w:i/>
          <w:iCs/>
        </w:rPr>
        <w:t>Flood Zone Type</w:t>
      </w:r>
      <w:r w:rsidR="009F7759" w:rsidRPr="009F7759">
        <w:rPr>
          <w:rFonts w:cs="Calibri"/>
          <w:i/>
          <w:iCs/>
        </w:rPr>
        <w:t>s</w:t>
      </w:r>
      <w:r>
        <w:rPr>
          <w:rFonts w:cs="Calibri"/>
        </w:rPr>
        <w:t xml:space="preserve">.  </w:t>
      </w:r>
      <w:r w:rsidR="00F360EF">
        <w:rPr>
          <w:rFonts w:cs="Calibri"/>
        </w:rPr>
        <w:t xml:space="preserve">Of the 61 structures mapped in the high-risk effective and advisory floodplains, </w:t>
      </w:r>
      <w:r w:rsidR="009F7759">
        <w:rPr>
          <w:rFonts w:cs="Calibri"/>
        </w:rPr>
        <w:t xml:space="preserve">72% of the dilapidated structures are in the detailed Zone AE flood zone which includes a Regulatory Floodway, while 28% </w:t>
      </w:r>
      <w:r w:rsidR="00747766">
        <w:rPr>
          <w:rFonts w:cs="Calibri"/>
        </w:rPr>
        <w:t>are in</w:t>
      </w:r>
      <w:r w:rsidR="009F7759">
        <w:rPr>
          <w:rFonts w:cs="Calibri"/>
        </w:rPr>
        <w:t xml:space="preserve"> the Zone </w:t>
      </w:r>
      <w:proofErr w:type="spellStart"/>
      <w:proofErr w:type="gramStart"/>
      <w:r w:rsidR="009F7759">
        <w:rPr>
          <w:rFonts w:cs="Calibri"/>
        </w:rPr>
        <w:t>A</w:t>
      </w:r>
      <w:proofErr w:type="spellEnd"/>
      <w:proofErr w:type="gramEnd"/>
      <w:r w:rsidR="009F7759">
        <w:rPr>
          <w:rFonts w:cs="Calibri"/>
        </w:rPr>
        <w:t xml:space="preserve"> Approximate </w:t>
      </w:r>
      <w:r w:rsidR="00905036">
        <w:rPr>
          <w:rFonts w:cs="Calibri"/>
        </w:rPr>
        <w:t>flood zone</w:t>
      </w:r>
      <w:r w:rsidR="009F7759">
        <w:rPr>
          <w:rFonts w:cs="Calibri"/>
        </w:rPr>
        <w:t xml:space="preserve"> which do</w:t>
      </w:r>
      <w:r w:rsidR="00905036">
        <w:rPr>
          <w:rFonts w:cs="Calibri"/>
        </w:rPr>
        <w:t>es</w:t>
      </w:r>
      <w:r w:rsidR="009F7759">
        <w:rPr>
          <w:rFonts w:cs="Calibri"/>
        </w:rPr>
        <w:t xml:space="preserve"> not have a mapped Floodway.</w:t>
      </w:r>
      <w:r w:rsidR="00F360EF">
        <w:rPr>
          <w:rFonts w:cs="Calibri"/>
        </w:rPr>
        <w:t xml:space="preserve"> </w:t>
      </w:r>
    </w:p>
    <w:p w14:paraId="7A660EAD" w14:textId="436AD8C7" w:rsidR="00C52029" w:rsidRDefault="00C52029" w:rsidP="00E76A94">
      <w:pPr>
        <w:numPr>
          <w:ilvl w:val="0"/>
          <w:numId w:val="2"/>
        </w:numPr>
        <w:spacing w:line="240" w:lineRule="auto"/>
        <w:rPr>
          <w:rFonts w:cs="Calibri"/>
        </w:rPr>
      </w:pPr>
      <w:r w:rsidRPr="00C465B8">
        <w:rPr>
          <w:rFonts w:cs="Calibri"/>
          <w:i/>
          <w:iCs/>
        </w:rPr>
        <w:lastRenderedPageBreak/>
        <w:t>Basement Foundations</w:t>
      </w:r>
      <w:r>
        <w:rPr>
          <w:rFonts w:cs="Calibri"/>
        </w:rPr>
        <w:t xml:space="preserve">.  It is estimated that </w:t>
      </w:r>
      <w:r w:rsidRPr="00C52029">
        <w:rPr>
          <w:rFonts w:cs="Calibri"/>
        </w:rPr>
        <w:t>40% of the structures have basement foundations</w:t>
      </w:r>
      <w:r>
        <w:rPr>
          <w:rFonts w:cs="Calibri"/>
        </w:rPr>
        <w:t xml:space="preserve"> which if are subgrade (not-walk-out</w:t>
      </w:r>
      <w:r w:rsidR="00905036">
        <w:rPr>
          <w:rFonts w:cs="Calibri"/>
        </w:rPr>
        <w:t xml:space="preserve"> basement</w:t>
      </w:r>
      <w:r>
        <w:rPr>
          <w:rFonts w:cs="Calibri"/>
        </w:rPr>
        <w:t>) foundations are more susceptible to flood damage</w:t>
      </w:r>
      <w:r w:rsidRPr="00C52029">
        <w:rPr>
          <w:rFonts w:cs="Calibri"/>
        </w:rPr>
        <w:t>.</w:t>
      </w:r>
    </w:p>
    <w:p w14:paraId="7ADAD112" w14:textId="52F0BD32" w:rsidR="00E76A94" w:rsidRPr="0040718F" w:rsidRDefault="00C52029" w:rsidP="0040718F">
      <w:pPr>
        <w:numPr>
          <w:ilvl w:val="0"/>
          <w:numId w:val="2"/>
        </w:numPr>
        <w:spacing w:line="240" w:lineRule="auto"/>
        <w:rPr>
          <w:rFonts w:cs="Calibri"/>
        </w:rPr>
      </w:pPr>
      <w:r w:rsidRPr="0040718F">
        <w:rPr>
          <w:rFonts w:cs="Calibri"/>
          <w:i/>
          <w:iCs/>
        </w:rPr>
        <w:t>Occupancy Class</w:t>
      </w:r>
      <w:r w:rsidRPr="0040718F">
        <w:rPr>
          <w:rFonts w:cs="Calibri"/>
        </w:rPr>
        <w:t>:  95% of the dilapidate</w:t>
      </w:r>
      <w:r w:rsidR="00CC6ED9" w:rsidRPr="0040718F">
        <w:rPr>
          <w:rFonts w:cs="Calibri"/>
        </w:rPr>
        <w:t>d</w:t>
      </w:r>
      <w:r w:rsidRPr="0040718F">
        <w:rPr>
          <w:rFonts w:cs="Calibri"/>
        </w:rPr>
        <w:t xml:space="preserve"> structures are </w:t>
      </w:r>
      <w:r w:rsidRPr="0040718F">
        <w:rPr>
          <w:rFonts w:cs="Calibri"/>
          <w:i/>
          <w:iCs/>
        </w:rPr>
        <w:t>residential</w:t>
      </w:r>
      <w:r w:rsidRPr="0040718F">
        <w:rPr>
          <w:rFonts w:cs="Calibri"/>
        </w:rPr>
        <w:t xml:space="preserve"> and 5% </w:t>
      </w:r>
      <w:r w:rsidRPr="0040718F">
        <w:rPr>
          <w:rFonts w:cs="Calibri"/>
          <w:i/>
          <w:iCs/>
        </w:rPr>
        <w:t>non-residential.</w:t>
      </w:r>
      <w:r w:rsidR="0040718F">
        <w:rPr>
          <w:rFonts w:cs="Calibri"/>
          <w:i/>
          <w:iCs/>
        </w:rPr>
        <w:br/>
      </w:r>
    </w:p>
    <w:p w14:paraId="73D9999A" w14:textId="0540B3BB" w:rsidR="00012E28" w:rsidRPr="004E0EE5" w:rsidRDefault="004B51DA" w:rsidP="00E76A94">
      <w:pPr>
        <w:spacing w:after="0" w:line="240" w:lineRule="auto"/>
        <w:rPr>
          <w:b/>
          <w:bCs/>
        </w:rPr>
      </w:pPr>
      <w:r w:rsidRPr="004E0EE5">
        <w:rPr>
          <w:b/>
          <w:bCs/>
          <w:highlight w:val="yellow"/>
        </w:rPr>
        <w:t xml:space="preserve">&lt;&lt; </w:t>
      </w:r>
      <w:r w:rsidR="00294DD8" w:rsidRPr="004E0EE5">
        <w:rPr>
          <w:b/>
          <w:bCs/>
          <w:highlight w:val="yellow"/>
        </w:rPr>
        <w:t>WEB MAP APPLICATION</w:t>
      </w:r>
      <w:r w:rsidR="00747766">
        <w:rPr>
          <w:b/>
          <w:bCs/>
          <w:highlight w:val="yellow"/>
        </w:rPr>
        <w:t xml:space="preserve"> for VIEWING RISK ASSESSMENT </w:t>
      </w:r>
      <w:r w:rsidRPr="004E0EE5">
        <w:rPr>
          <w:b/>
          <w:bCs/>
          <w:highlight w:val="yellow"/>
        </w:rPr>
        <w:t xml:space="preserve"> &gt;&gt;</w:t>
      </w:r>
    </w:p>
    <w:p w14:paraId="141EE00B" w14:textId="67069428" w:rsidR="00012E28" w:rsidRDefault="004B51DA" w:rsidP="00E76A94">
      <w:pPr>
        <w:spacing w:after="0" w:line="240" w:lineRule="auto"/>
        <w:rPr>
          <w:color w:val="215E99" w:themeColor="text2" w:themeTint="BF"/>
        </w:rPr>
      </w:pPr>
      <w:hyperlink r:id="rId8" w:tooltip="https://www.mapwv.gov/McDowell-RA-buyouts" w:history="1">
        <w:r w:rsidRPr="00C465B8">
          <w:rPr>
            <w:rStyle w:val="Hyperlink"/>
            <w:color w:val="0070C0"/>
          </w:rPr>
          <w:t>https://www.mapwv.gov/McDowell-RA-buyouts</w:t>
        </w:r>
      </w:hyperlink>
      <w:r>
        <w:br/>
      </w:r>
    </w:p>
    <w:p w14:paraId="0C0F72DD" w14:textId="33785D27" w:rsidR="00153B79" w:rsidRPr="00153B79" w:rsidRDefault="00153B79" w:rsidP="00E76A94">
      <w:pPr>
        <w:spacing w:after="0" w:line="240" w:lineRule="auto"/>
      </w:pPr>
      <w:r w:rsidRPr="00153B79">
        <w:t xml:space="preserve">A simple </w:t>
      </w:r>
      <w:r w:rsidR="00E76A94">
        <w:t xml:space="preserve">interactive </w:t>
      </w:r>
      <w:r w:rsidRPr="00153B79">
        <w:t xml:space="preserve">web map application was created of the </w:t>
      </w:r>
      <w:r w:rsidRPr="00F360EF">
        <w:rPr>
          <w:u w:val="single"/>
        </w:rPr>
        <w:t>61 structures</w:t>
      </w:r>
      <w:r w:rsidRPr="00153B79">
        <w:t xml:space="preserve"> located in the high-risk floodplain to further spatial analysis and collaboration. </w:t>
      </w:r>
    </w:p>
    <w:p w14:paraId="38895233" w14:textId="77777777" w:rsidR="00153B79" w:rsidRPr="00C465B8" w:rsidRDefault="00153B79" w:rsidP="00E76A94">
      <w:pPr>
        <w:spacing w:after="0" w:line="240" w:lineRule="auto"/>
        <w:rPr>
          <w:color w:val="215E99" w:themeColor="text2" w:themeTint="BF"/>
        </w:rPr>
      </w:pPr>
    </w:p>
    <w:p w14:paraId="66B366C9" w14:textId="7D08938D" w:rsidR="004B51DA" w:rsidRDefault="004B51DA" w:rsidP="00E76A94">
      <w:pPr>
        <w:spacing w:after="0" w:line="240" w:lineRule="auto"/>
      </w:pPr>
      <w:r w:rsidRPr="004E0EE5">
        <w:rPr>
          <w:u w:val="single"/>
        </w:rPr>
        <w:t xml:space="preserve">Operational Map Layers:  </w:t>
      </w:r>
    </w:p>
    <w:p w14:paraId="3A180556" w14:textId="387DAC6F" w:rsidR="004B51DA" w:rsidRDefault="004B51DA" w:rsidP="00E76A94">
      <w:pPr>
        <w:pStyle w:val="ListParagraph"/>
        <w:numPr>
          <w:ilvl w:val="0"/>
          <w:numId w:val="3"/>
        </w:numPr>
        <w:spacing w:after="0" w:line="240" w:lineRule="auto"/>
      </w:pPr>
      <w:r w:rsidRPr="00C465B8">
        <w:rPr>
          <w:i/>
          <w:iCs/>
        </w:rPr>
        <w:t>Flood Depths</w:t>
      </w:r>
      <w:r>
        <w:t>.  The proportional circles (red-orange-yellow-tan) represent model-backed base flood depths, the primary flood risk factor.</w:t>
      </w:r>
    </w:p>
    <w:p w14:paraId="36FBA999" w14:textId="55D279F2" w:rsidR="004B51DA" w:rsidRDefault="004B51DA" w:rsidP="00E76A94">
      <w:pPr>
        <w:pStyle w:val="ListParagraph"/>
        <w:numPr>
          <w:ilvl w:val="0"/>
          <w:numId w:val="3"/>
        </w:numPr>
        <w:spacing w:after="0" w:line="240" w:lineRule="auto"/>
      </w:pPr>
      <w:r w:rsidRPr="00C465B8">
        <w:rPr>
          <w:i/>
          <w:iCs/>
        </w:rPr>
        <w:t>Floodway</w:t>
      </w:r>
      <w:r>
        <w:t xml:space="preserve">.  The small solid black circle indicates the </w:t>
      </w:r>
      <w:r w:rsidR="004E0EE5">
        <w:t>structure</w:t>
      </w:r>
      <w:r>
        <w:t xml:space="preserve"> in the Regulatory Floodway.</w:t>
      </w:r>
    </w:p>
    <w:p w14:paraId="1060C9D1" w14:textId="7F0F9054" w:rsidR="00747766" w:rsidRDefault="004B51DA" w:rsidP="00E76A94">
      <w:pPr>
        <w:pStyle w:val="ListParagraph"/>
        <w:numPr>
          <w:ilvl w:val="0"/>
          <w:numId w:val="3"/>
        </w:numPr>
        <w:spacing w:after="0" w:line="240" w:lineRule="auto"/>
      </w:pPr>
      <w:r w:rsidRPr="00E76A94">
        <w:rPr>
          <w:i/>
          <w:iCs/>
        </w:rPr>
        <w:t>Adjacent Mitigated Parcel</w:t>
      </w:r>
      <w:r>
        <w:t>.  A green circle indicates dilapidated structure is near an existing buyout parcel and thus</w:t>
      </w:r>
      <w:r w:rsidR="004E0EE5">
        <w:t xml:space="preserve"> aggregated into a larger park or conservation area.</w:t>
      </w:r>
    </w:p>
    <w:p w14:paraId="7701EA5A" w14:textId="1320D902" w:rsidR="004B51DA" w:rsidRDefault="00E76A94" w:rsidP="00E76A94">
      <w:pPr>
        <w:spacing w:after="0" w:line="240" w:lineRule="auto"/>
      </w:pPr>
      <w:r>
        <w:br/>
      </w:r>
    </w:p>
    <w:p w14:paraId="49468E15" w14:textId="27EFB2AB" w:rsidR="004B51DA" w:rsidRDefault="004E0EE5" w:rsidP="00E76A94">
      <w:pPr>
        <w:spacing w:after="0" w:line="240" w:lineRule="auto"/>
      </w:pPr>
      <w:r>
        <w:t xml:space="preserve">&lt;&lt; </w:t>
      </w:r>
      <w:r w:rsidR="00E76A94">
        <w:t xml:space="preserve">Figure 1.  </w:t>
      </w:r>
      <w:r w:rsidRPr="00747766">
        <w:rPr>
          <w:b/>
          <w:bCs/>
        </w:rPr>
        <w:t xml:space="preserve">Risk Assessment Map of </w:t>
      </w:r>
      <w:r w:rsidR="00747766" w:rsidRPr="00747766">
        <w:rPr>
          <w:b/>
          <w:bCs/>
        </w:rPr>
        <w:t xml:space="preserve">McDowell County’s </w:t>
      </w:r>
      <w:r w:rsidRPr="00747766">
        <w:rPr>
          <w:b/>
          <w:bCs/>
        </w:rPr>
        <w:t>Dilapidated Structures</w:t>
      </w:r>
      <w:r w:rsidR="00747766">
        <w:t xml:space="preserve"> &gt;&gt;</w:t>
      </w:r>
      <w:r w:rsidR="00747766">
        <w:br/>
        <w:t xml:space="preserve">&lt;&lt; </w:t>
      </w:r>
      <w:r>
        <w:t>Base Map</w:t>
      </w:r>
      <w:r w:rsidR="00747766">
        <w:t xml:space="preserve"> is</w:t>
      </w:r>
      <w:r>
        <w:t xml:space="preserve"> Street Map &gt;&gt;</w:t>
      </w:r>
    </w:p>
    <w:p w14:paraId="3B59B9BF" w14:textId="6822447A" w:rsidR="004B51DA" w:rsidRDefault="004B51DA" w:rsidP="00E76A94">
      <w:pPr>
        <w:spacing w:after="0" w:line="240" w:lineRule="auto"/>
      </w:pPr>
      <w:r w:rsidRPr="004B51DA">
        <w:rPr>
          <w:noProof/>
        </w:rPr>
        <w:drawing>
          <wp:inline distT="0" distB="0" distL="0" distR="0" wp14:anchorId="05A9FBC7" wp14:editId="3253EDE5">
            <wp:extent cx="5943600" cy="3549015"/>
            <wp:effectExtent l="19050" t="19050" r="19050" b="13335"/>
            <wp:docPr id="203935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551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BDA9F3" w14:textId="6E31EA2E" w:rsidR="00012E28" w:rsidRPr="004E0EE5" w:rsidRDefault="004B51DA" w:rsidP="00E76A94">
      <w:pPr>
        <w:spacing w:after="0" w:line="240" w:lineRule="auto"/>
        <w:rPr>
          <w:u w:val="single"/>
        </w:rPr>
      </w:pPr>
      <w:r w:rsidRPr="004E0EE5">
        <w:rPr>
          <w:u w:val="single"/>
        </w:rPr>
        <w:lastRenderedPageBreak/>
        <w:t xml:space="preserve">Map </w:t>
      </w:r>
      <w:r w:rsidR="00012E28" w:rsidRPr="004E0EE5">
        <w:rPr>
          <w:u w:val="single"/>
        </w:rPr>
        <w:t>Functions:</w:t>
      </w:r>
    </w:p>
    <w:p w14:paraId="5C15C6BB" w14:textId="6612A0E1" w:rsidR="00012E28" w:rsidRDefault="00012E28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Print/Export Function</w:t>
      </w:r>
    </w:p>
    <w:p w14:paraId="6D41B1A0" w14:textId="6F3B2D6E" w:rsidR="00012E28" w:rsidRDefault="00012E28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Map Layers (and legend)</w:t>
      </w:r>
    </w:p>
    <w:p w14:paraId="2A89BE79" w14:textId="45A5307B" w:rsidR="00012E28" w:rsidRDefault="00012E28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Base Layers</w:t>
      </w:r>
    </w:p>
    <w:p w14:paraId="6C3EEA8A" w14:textId="72DAFA28" w:rsidR="00012E28" w:rsidRDefault="00012E28" w:rsidP="00E76A94">
      <w:pPr>
        <w:pStyle w:val="ListParagraph"/>
        <w:numPr>
          <w:ilvl w:val="1"/>
          <w:numId w:val="1"/>
        </w:numPr>
        <w:spacing w:after="0" w:line="240" w:lineRule="auto"/>
      </w:pPr>
      <w:r>
        <w:t>Topo Map View (default) - lower left of map frame</w:t>
      </w:r>
    </w:p>
    <w:p w14:paraId="1A5C4E15" w14:textId="1EF09FD2" w:rsidR="00012E28" w:rsidRDefault="00012E28" w:rsidP="00E76A94">
      <w:pPr>
        <w:pStyle w:val="ListParagraph"/>
        <w:numPr>
          <w:ilvl w:val="1"/>
          <w:numId w:val="1"/>
        </w:numPr>
        <w:spacing w:after="0" w:line="240" w:lineRule="auto"/>
      </w:pPr>
      <w:r>
        <w:t>Street Map - lower left of map frame</w:t>
      </w:r>
    </w:p>
    <w:p w14:paraId="19C04F65" w14:textId="224D32CF" w:rsidR="00012E28" w:rsidRDefault="00012E28" w:rsidP="00E76A94">
      <w:pPr>
        <w:pStyle w:val="ListParagraph"/>
        <w:numPr>
          <w:ilvl w:val="1"/>
          <w:numId w:val="1"/>
        </w:numPr>
        <w:spacing w:after="0" w:line="240" w:lineRule="auto"/>
      </w:pPr>
      <w:r>
        <w:t>Aerial Imagery (WV Best Leaf Off)  – make visible in reference layers</w:t>
      </w:r>
    </w:p>
    <w:p w14:paraId="1AE1BBA0" w14:textId="02C2FB30" w:rsidR="00012E28" w:rsidRDefault="00012E28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Measure Tool</w:t>
      </w:r>
    </w:p>
    <w:p w14:paraId="49C45CE1" w14:textId="5CF8B113" w:rsidR="00012E28" w:rsidRDefault="00012E28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Shared Link Tool</w:t>
      </w:r>
    </w:p>
    <w:p w14:paraId="6E837ED2" w14:textId="0F4641A1" w:rsidR="00012E28" w:rsidRDefault="00012E28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Legend List</w:t>
      </w:r>
    </w:p>
    <w:p w14:paraId="49470E32" w14:textId="10A81EED" w:rsidR="00747766" w:rsidRDefault="00012E28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Address Finder</w:t>
      </w:r>
    </w:p>
    <w:p w14:paraId="24B15DEA" w14:textId="16FAB9C6" w:rsidR="00E76A94" w:rsidRDefault="00E76A94" w:rsidP="00E76A94">
      <w:pPr>
        <w:pStyle w:val="ListParagraph"/>
        <w:numPr>
          <w:ilvl w:val="0"/>
          <w:numId w:val="1"/>
        </w:numPr>
        <w:spacing w:after="0" w:line="240" w:lineRule="auto"/>
      </w:pPr>
      <w:r>
        <w:t>Pop-up Attributes of Dilapidated Structures (click on circle in map frame) including links to the WV Flood Tool</w:t>
      </w:r>
    </w:p>
    <w:p w14:paraId="3BD2024A" w14:textId="77777777" w:rsidR="00E76A94" w:rsidRDefault="00E76A94" w:rsidP="00E76A94">
      <w:pPr>
        <w:pStyle w:val="ListParagraph"/>
        <w:spacing w:after="0" w:line="240" w:lineRule="auto"/>
      </w:pPr>
    </w:p>
    <w:p w14:paraId="01A1AF57" w14:textId="77777777" w:rsidR="00E76A94" w:rsidRDefault="00E76A94" w:rsidP="00E76A94">
      <w:pPr>
        <w:pStyle w:val="ListParagraph"/>
        <w:spacing w:after="0" w:line="240" w:lineRule="auto"/>
      </w:pPr>
    </w:p>
    <w:p w14:paraId="7A53501F" w14:textId="52E78063" w:rsidR="00747766" w:rsidRDefault="00747766" w:rsidP="00E76A94">
      <w:pPr>
        <w:spacing w:after="0" w:line="240" w:lineRule="auto"/>
      </w:pPr>
      <w:r>
        <w:t xml:space="preserve">&lt;&lt; </w:t>
      </w:r>
      <w:r w:rsidR="00E76A94">
        <w:t xml:space="preserve">Figure 2.  </w:t>
      </w:r>
      <w:r w:rsidRPr="00E76A94">
        <w:rPr>
          <w:b/>
          <w:bCs/>
        </w:rPr>
        <w:t>Zoomed-in Risk Assessment Map of Kimball’s Dilapidated Structures</w:t>
      </w:r>
      <w:r>
        <w:t xml:space="preserve"> &gt;&gt;</w:t>
      </w:r>
      <w:r>
        <w:br/>
        <w:t xml:space="preserve">&lt;&lt; Base Map is </w:t>
      </w:r>
      <w:r w:rsidR="00E76A94" w:rsidRPr="00E76A94">
        <w:rPr>
          <w:i/>
          <w:iCs/>
        </w:rPr>
        <w:t>Topographic Map</w:t>
      </w:r>
      <w:r>
        <w:t xml:space="preserve"> &gt;&gt;</w:t>
      </w:r>
    </w:p>
    <w:p w14:paraId="0B9665A8" w14:textId="4C7852B3" w:rsidR="00747766" w:rsidRDefault="00747766" w:rsidP="00E76A94">
      <w:pPr>
        <w:spacing w:after="0" w:line="240" w:lineRule="auto"/>
      </w:pPr>
      <w:r>
        <w:t>&lt;&lt; Many of the dilapidated structures in Kimball are close to existing buyout properties &gt;&gt;</w:t>
      </w:r>
    </w:p>
    <w:p w14:paraId="79B7864D" w14:textId="1AE3D0BB" w:rsidR="00012E28" w:rsidRDefault="00747766" w:rsidP="00E76A94">
      <w:pPr>
        <w:spacing w:after="0" w:line="240" w:lineRule="auto"/>
      </w:pPr>
      <w:r w:rsidRPr="00747766">
        <w:rPr>
          <w:noProof/>
        </w:rPr>
        <w:drawing>
          <wp:inline distT="0" distB="0" distL="0" distR="0" wp14:anchorId="30CB54A6" wp14:editId="4B8E802F">
            <wp:extent cx="5943600" cy="4111625"/>
            <wp:effectExtent l="19050" t="19050" r="19050" b="22225"/>
            <wp:docPr id="1752753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7536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1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105E13" w14:textId="77777777" w:rsidR="00747766" w:rsidRDefault="00747766" w:rsidP="00E76A94">
      <w:pPr>
        <w:spacing w:after="0" w:line="240" w:lineRule="auto"/>
      </w:pPr>
    </w:p>
    <w:p w14:paraId="0CD3134A" w14:textId="77777777" w:rsidR="00E76A94" w:rsidRDefault="00E76A94" w:rsidP="00E76A94">
      <w:pPr>
        <w:spacing w:line="240" w:lineRule="auto"/>
      </w:pPr>
      <w:r>
        <w:br w:type="page"/>
      </w:r>
    </w:p>
    <w:p w14:paraId="0884E0EA" w14:textId="0C71A16A" w:rsidR="00E76A94" w:rsidRDefault="00E76A94" w:rsidP="00E76A94">
      <w:pPr>
        <w:spacing w:after="0" w:line="240" w:lineRule="auto"/>
      </w:pPr>
      <w:r>
        <w:lastRenderedPageBreak/>
        <w:t xml:space="preserve">&lt;&lt; Figure 3.  </w:t>
      </w:r>
      <w:r w:rsidRPr="00747766">
        <w:rPr>
          <w:b/>
          <w:bCs/>
        </w:rPr>
        <w:t xml:space="preserve">Zoomed-in Risk Assessment Map of </w:t>
      </w:r>
      <w:r>
        <w:rPr>
          <w:b/>
          <w:bCs/>
        </w:rPr>
        <w:t>Kimball’s</w:t>
      </w:r>
      <w:r w:rsidRPr="00747766">
        <w:rPr>
          <w:b/>
          <w:bCs/>
        </w:rPr>
        <w:t xml:space="preserve"> Dilapidated Structures</w:t>
      </w:r>
      <w:r>
        <w:t xml:space="preserve"> &gt;&gt;</w:t>
      </w:r>
      <w:r>
        <w:br/>
        <w:t xml:space="preserve">&lt;&lt; Base Map is </w:t>
      </w:r>
      <w:r w:rsidRPr="00E76A94">
        <w:rPr>
          <w:i/>
          <w:iCs/>
        </w:rPr>
        <w:t>Aerial Imagery</w:t>
      </w:r>
      <w:r>
        <w:t xml:space="preserve"> &gt;&gt;</w:t>
      </w:r>
    </w:p>
    <w:p w14:paraId="6CB51A37" w14:textId="77777777" w:rsidR="00E76A94" w:rsidRDefault="00E76A94" w:rsidP="00E76A94">
      <w:pPr>
        <w:spacing w:after="0" w:line="240" w:lineRule="auto"/>
      </w:pPr>
      <w:r>
        <w:t>&lt;&lt; Many of the dilapidated structures in Kimball are close to existing buyout properties &gt;&gt;</w:t>
      </w:r>
    </w:p>
    <w:p w14:paraId="0E79E0E4" w14:textId="77777777" w:rsidR="00747766" w:rsidRDefault="00747766" w:rsidP="00747766">
      <w:pPr>
        <w:spacing w:after="0" w:line="240" w:lineRule="auto"/>
      </w:pPr>
    </w:p>
    <w:p w14:paraId="2125DFF0" w14:textId="7949449F" w:rsidR="00E76A94" w:rsidRDefault="00E76A94" w:rsidP="00747766">
      <w:pPr>
        <w:spacing w:after="0" w:line="240" w:lineRule="auto"/>
      </w:pPr>
      <w:r w:rsidRPr="00E76A94">
        <w:rPr>
          <w:noProof/>
        </w:rPr>
        <w:drawing>
          <wp:inline distT="0" distB="0" distL="0" distR="0" wp14:anchorId="0ADA90E2" wp14:editId="7C8C7FD5">
            <wp:extent cx="5943600" cy="4143375"/>
            <wp:effectExtent l="19050" t="19050" r="19050" b="28575"/>
            <wp:docPr id="798355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554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BADE9F" w14:textId="77777777" w:rsidR="00747766" w:rsidRDefault="00747766" w:rsidP="00747766">
      <w:pPr>
        <w:spacing w:after="0" w:line="240" w:lineRule="auto"/>
      </w:pPr>
    </w:p>
    <w:p w14:paraId="778E49F5" w14:textId="77777777" w:rsidR="00747766" w:rsidRDefault="00747766" w:rsidP="00747766">
      <w:pPr>
        <w:spacing w:after="0" w:line="240" w:lineRule="auto"/>
      </w:pPr>
    </w:p>
    <w:p w14:paraId="3D6C4047" w14:textId="77777777" w:rsidR="00747766" w:rsidRDefault="00747766" w:rsidP="00747766">
      <w:pPr>
        <w:spacing w:after="0" w:line="240" w:lineRule="auto"/>
      </w:pPr>
    </w:p>
    <w:p w14:paraId="5265F973" w14:textId="77777777" w:rsidR="00747766" w:rsidRDefault="00747766" w:rsidP="00747766">
      <w:pPr>
        <w:spacing w:after="0" w:line="240" w:lineRule="auto"/>
      </w:pPr>
    </w:p>
    <w:p w14:paraId="435FDB15" w14:textId="77777777" w:rsidR="004B51DA" w:rsidRDefault="004B51DA" w:rsidP="004B51DA">
      <w:pPr>
        <w:spacing w:after="0" w:line="240" w:lineRule="auto"/>
      </w:pPr>
    </w:p>
    <w:p w14:paraId="272377FE" w14:textId="64AF22D0" w:rsidR="004B51DA" w:rsidRPr="004E0EE5" w:rsidRDefault="004B51DA" w:rsidP="004B51DA">
      <w:pPr>
        <w:spacing w:after="0" w:line="240" w:lineRule="auto"/>
        <w:rPr>
          <w:i/>
          <w:iCs/>
        </w:rPr>
      </w:pPr>
    </w:p>
    <w:p w14:paraId="21817EC6" w14:textId="2B9A6654" w:rsidR="004E0EE5" w:rsidRPr="004E0EE5" w:rsidRDefault="004E0EE5" w:rsidP="004B51DA">
      <w:pPr>
        <w:spacing w:after="0" w:line="240" w:lineRule="auto"/>
        <w:rPr>
          <w:i/>
          <w:iCs/>
        </w:rPr>
      </w:pPr>
      <w:r w:rsidRPr="004E0EE5">
        <w:rPr>
          <w:i/>
          <w:iCs/>
          <w:u w:val="single"/>
        </w:rPr>
        <w:t>Contributors:</w:t>
      </w:r>
      <w:r w:rsidRPr="004E0EE5">
        <w:rPr>
          <w:i/>
          <w:iCs/>
        </w:rPr>
        <w:t xml:space="preserve">  Risk assessment and mapping performed by the WV GIS Technical Center at West Virginia University.</w:t>
      </w:r>
      <w:r w:rsidR="00E76A94">
        <w:rPr>
          <w:i/>
          <w:iCs/>
        </w:rPr>
        <w:br/>
      </w:r>
    </w:p>
    <w:p w14:paraId="10333193" w14:textId="55C7147E" w:rsidR="004E0EE5" w:rsidRPr="004E0EE5" w:rsidRDefault="004E0EE5" w:rsidP="004E0EE5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</w:rPr>
      </w:pPr>
      <w:r w:rsidRPr="004E0EE5">
        <w:rPr>
          <w:i/>
          <w:iCs/>
        </w:rPr>
        <w:t>Annie Mahmoudi</w:t>
      </w:r>
    </w:p>
    <w:p w14:paraId="00027B2A" w14:textId="77777777" w:rsidR="004E0EE5" w:rsidRPr="004E0EE5" w:rsidRDefault="004E0EE5" w:rsidP="004E0EE5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</w:rPr>
      </w:pPr>
      <w:r w:rsidRPr="004E0EE5">
        <w:rPr>
          <w:i/>
          <w:iCs/>
        </w:rPr>
        <w:t>Behrang Bidadian</w:t>
      </w:r>
    </w:p>
    <w:p w14:paraId="24908C4D" w14:textId="7A3BAF74" w:rsidR="004E0EE5" w:rsidRPr="004E0EE5" w:rsidRDefault="004E0EE5" w:rsidP="004E0EE5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</w:rPr>
      </w:pPr>
      <w:r w:rsidRPr="004E0EE5">
        <w:rPr>
          <w:i/>
          <w:iCs/>
        </w:rPr>
        <w:t xml:space="preserve">Kurt Donaldson </w:t>
      </w:r>
    </w:p>
    <w:sectPr w:rsidR="004E0EE5" w:rsidRPr="004E0EE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A7EEE" w14:textId="77777777" w:rsidR="00DA7700" w:rsidRDefault="00DA7700" w:rsidP="00F360EF">
      <w:pPr>
        <w:spacing w:after="0" w:line="240" w:lineRule="auto"/>
      </w:pPr>
      <w:r>
        <w:separator/>
      </w:r>
    </w:p>
  </w:endnote>
  <w:endnote w:type="continuationSeparator" w:id="0">
    <w:p w14:paraId="494E3ABF" w14:textId="77777777" w:rsidR="00DA7700" w:rsidRDefault="00DA7700" w:rsidP="00F3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220501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741340C" w14:textId="17E4255E" w:rsidR="00F360EF" w:rsidRPr="00F360EF" w:rsidRDefault="00F360EF">
        <w:pPr>
          <w:pStyle w:val="Footer"/>
          <w:jc w:val="right"/>
          <w:rPr>
            <w:sz w:val="20"/>
            <w:szCs w:val="20"/>
          </w:rPr>
        </w:pPr>
        <w:r w:rsidRPr="00F360EF">
          <w:rPr>
            <w:sz w:val="20"/>
            <w:szCs w:val="20"/>
          </w:rPr>
          <w:fldChar w:fldCharType="begin"/>
        </w:r>
        <w:r w:rsidRPr="00F360EF">
          <w:rPr>
            <w:sz w:val="20"/>
            <w:szCs w:val="20"/>
          </w:rPr>
          <w:instrText xml:space="preserve"> PAGE   \* MERGEFORMAT </w:instrText>
        </w:r>
        <w:r w:rsidRPr="00F360EF">
          <w:rPr>
            <w:sz w:val="20"/>
            <w:szCs w:val="20"/>
          </w:rPr>
          <w:fldChar w:fldCharType="separate"/>
        </w:r>
        <w:r w:rsidRPr="00F360EF">
          <w:rPr>
            <w:noProof/>
            <w:sz w:val="20"/>
            <w:szCs w:val="20"/>
          </w:rPr>
          <w:t>2</w:t>
        </w:r>
        <w:r w:rsidRPr="00F360EF">
          <w:rPr>
            <w:noProof/>
            <w:sz w:val="20"/>
            <w:szCs w:val="20"/>
          </w:rPr>
          <w:fldChar w:fldCharType="end"/>
        </w:r>
      </w:p>
    </w:sdtContent>
  </w:sdt>
  <w:p w14:paraId="4D541CA7" w14:textId="77777777" w:rsidR="00F360EF" w:rsidRDefault="00F36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2438" w14:textId="77777777" w:rsidR="00DA7700" w:rsidRDefault="00DA7700" w:rsidP="00F360EF">
      <w:pPr>
        <w:spacing w:after="0" w:line="240" w:lineRule="auto"/>
      </w:pPr>
      <w:r>
        <w:separator/>
      </w:r>
    </w:p>
  </w:footnote>
  <w:footnote w:type="continuationSeparator" w:id="0">
    <w:p w14:paraId="32363FFC" w14:textId="77777777" w:rsidR="00DA7700" w:rsidRDefault="00DA7700" w:rsidP="00F3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245F"/>
    <w:multiLevelType w:val="multilevel"/>
    <w:tmpl w:val="164E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D41F7"/>
    <w:multiLevelType w:val="hybridMultilevel"/>
    <w:tmpl w:val="AFA6F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8675F"/>
    <w:multiLevelType w:val="hybridMultilevel"/>
    <w:tmpl w:val="F9944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B32B2"/>
    <w:multiLevelType w:val="hybridMultilevel"/>
    <w:tmpl w:val="0310E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210">
    <w:abstractNumId w:val="2"/>
  </w:num>
  <w:num w:numId="2" w16cid:durableId="1593978172">
    <w:abstractNumId w:val="0"/>
  </w:num>
  <w:num w:numId="3" w16cid:durableId="1720126545">
    <w:abstractNumId w:val="1"/>
  </w:num>
  <w:num w:numId="4" w16cid:durableId="1724404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28"/>
    <w:rsid w:val="00012E28"/>
    <w:rsid w:val="00153B79"/>
    <w:rsid w:val="00187248"/>
    <w:rsid w:val="00294DD8"/>
    <w:rsid w:val="00306E98"/>
    <w:rsid w:val="0040718F"/>
    <w:rsid w:val="004B51DA"/>
    <w:rsid w:val="004E0EE5"/>
    <w:rsid w:val="00747766"/>
    <w:rsid w:val="007B2B55"/>
    <w:rsid w:val="00905036"/>
    <w:rsid w:val="009F7759"/>
    <w:rsid w:val="00A2511A"/>
    <w:rsid w:val="00B23E78"/>
    <w:rsid w:val="00B25EE3"/>
    <w:rsid w:val="00C465B8"/>
    <w:rsid w:val="00C52029"/>
    <w:rsid w:val="00CA54E1"/>
    <w:rsid w:val="00CB0D9D"/>
    <w:rsid w:val="00CC6ED9"/>
    <w:rsid w:val="00D92E09"/>
    <w:rsid w:val="00DA7700"/>
    <w:rsid w:val="00E23588"/>
    <w:rsid w:val="00E76A94"/>
    <w:rsid w:val="00F3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B2D97"/>
  <w15:chartTrackingRefBased/>
  <w15:docId w15:val="{368038C0-069A-4A31-B715-6E9AD676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EE5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EE5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E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E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E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E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E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E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E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E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2E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E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51D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6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0EF"/>
  </w:style>
  <w:style w:type="paragraph" w:styleId="Footer">
    <w:name w:val="footer"/>
    <w:basedOn w:val="Normal"/>
    <w:link w:val="FooterChar"/>
    <w:uiPriority w:val="99"/>
    <w:unhideWhenUsed/>
    <w:rsid w:val="00F36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pwv.gov/McDowell-RA-buyout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pwv.gov/flood/map/?wkid=102100&amp;x=-9082441&amp;y=4500567&amp;l=11&amp;v=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839</Words>
  <Characters>5720</Characters>
  <Application>Microsoft Office Word</Application>
  <DocSecurity>0</DocSecurity>
  <Lines>440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Donaldson</dc:creator>
  <cp:keywords/>
  <dc:description/>
  <cp:lastModifiedBy>Kurt Donaldson</cp:lastModifiedBy>
  <cp:revision>2</cp:revision>
  <dcterms:created xsi:type="dcterms:W3CDTF">2026-07-07T16:40:00Z</dcterms:created>
  <dcterms:modified xsi:type="dcterms:W3CDTF">2026-07-07T16:40:00Z</dcterms:modified>
</cp:coreProperties>
</file>