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B83A4E" w14:textId="77777777" w:rsidR="00FB0B24" w:rsidRDefault="00053DFE" w:rsidP="00053DFE">
      <w:pPr>
        <w:spacing w:line="360" w:lineRule="auto"/>
      </w:pPr>
      <w:r>
        <w:t>Slide 1</w:t>
      </w:r>
    </w:p>
    <w:p w14:paraId="5BA1A52A" w14:textId="77777777" w:rsidR="00053DFE" w:rsidRDefault="00053DFE" w:rsidP="00053DFE">
      <w:pPr>
        <w:spacing w:line="360" w:lineRule="auto"/>
      </w:pPr>
    </w:p>
    <w:p w14:paraId="634A2C80" w14:textId="008EDACB" w:rsidR="00053DFE" w:rsidRDefault="00053DFE" w:rsidP="00053DFE">
      <w:pPr>
        <w:spacing w:line="360" w:lineRule="auto"/>
        <w:jc w:val="center"/>
      </w:pPr>
      <w:r>
        <w:object w:dxaOrig="9605" w:dyaOrig="5393" w14:anchorId="2F9A0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02.5pt" o:ole="" o:bordertopcolor="this" o:borderleftcolor="this" o:borderbottomcolor="this" o:borderrightcolor="this">
            <v:imagedata r:id="rId4" o:title=""/>
            <w10:bordertop type="single" width="4" shadow="t"/>
            <w10:borderleft type="single" width="4" shadow="t"/>
            <w10:borderbottom type="single" width="4" shadow="t"/>
            <w10:borderright type="single" width="4" shadow="t"/>
          </v:shape>
          <o:OLEObject Type="Embed" ProgID="PowerPoint.Slide.12" ShapeID="_x0000_i1025" DrawAspect="Content" ObjectID="_1798459696" r:id="rId5"/>
        </w:object>
      </w:r>
    </w:p>
    <w:p w14:paraId="6C5B218D" w14:textId="77777777" w:rsidR="00053DFE" w:rsidRDefault="00053DFE" w:rsidP="00053DFE">
      <w:pPr>
        <w:spacing w:line="360" w:lineRule="auto"/>
        <w:jc w:val="center"/>
      </w:pPr>
    </w:p>
    <w:p w14:paraId="4C6D07F0" w14:textId="77777777" w:rsidR="00053DFE" w:rsidRDefault="00053DFE" w:rsidP="00053DFE">
      <w:pPr>
        <w:autoSpaceDE w:val="0"/>
        <w:autoSpaceDN w:val="0"/>
        <w:adjustRightInd w:val="0"/>
        <w:spacing w:after="0" w:line="240" w:lineRule="auto"/>
        <w:rPr>
          <w:rFonts w:ascii="Aptos" w:hAnsi="Aptos" w:cs="Aptos"/>
          <w:color w:val="242424"/>
          <w:kern w:val="24"/>
          <w:sz w:val="24"/>
          <w:szCs w:val="24"/>
        </w:rPr>
      </w:pPr>
      <w:r>
        <w:rPr>
          <w:rFonts w:ascii="Aptos" w:hAnsi="Aptos" w:cs="Aptos"/>
          <w:color w:val="242424"/>
          <w:kern w:val="24"/>
          <w:sz w:val="24"/>
          <w:szCs w:val="24"/>
        </w:rPr>
        <w:t xml:space="preserve">Risk MAP (Mapping, Assessment, Supplemental) Slides prepared by the WV GIS Technical Center at West Virginia University for the </w:t>
      </w:r>
      <w:r>
        <w:rPr>
          <w:rFonts w:ascii="Aptos" w:hAnsi="Aptos" w:cs="Aptos"/>
          <w:b/>
          <w:bCs/>
          <w:color w:val="242424"/>
          <w:kern w:val="24"/>
          <w:sz w:val="24"/>
          <w:szCs w:val="24"/>
        </w:rPr>
        <w:t xml:space="preserve">Community Coordination and Outreach </w:t>
      </w:r>
      <w:r>
        <w:rPr>
          <w:rFonts w:ascii="Aptos" w:hAnsi="Aptos" w:cs="Aptos"/>
          <w:color w:val="242424"/>
          <w:kern w:val="24"/>
          <w:sz w:val="24"/>
          <w:szCs w:val="24"/>
        </w:rPr>
        <w:t>(CCO) meeting to discuss the new preliminary Flood Insurance Study (FIS) and Flood Insurance Rate Maps (FIRMs) for Jefferson County, WV, issued on September 24, 2024.  The CCO meeting was held on December 11, 2024, at the Jefferson County Office of Homeland Security and Emergency Management, 28 Industrial Boulevard, Kearneysville West Virginia, 25430. </w:t>
      </w:r>
    </w:p>
    <w:p w14:paraId="0DD66732"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color w:val="242424"/>
          <w:kern w:val="24"/>
          <w:sz w:val="24"/>
          <w:szCs w:val="24"/>
        </w:rPr>
        <w:t xml:space="preserve"> </w:t>
      </w:r>
    </w:p>
    <w:p w14:paraId="754196F1" w14:textId="77777777" w:rsidR="00053DFE" w:rsidRDefault="00053DFE" w:rsidP="00053DFE">
      <w:pPr>
        <w:autoSpaceDE w:val="0"/>
        <w:autoSpaceDN w:val="0"/>
        <w:adjustRightInd w:val="0"/>
        <w:spacing w:after="0" w:line="240" w:lineRule="auto"/>
        <w:rPr>
          <w:rFonts w:ascii="Arial" w:hAnsi="Arial" w:cs="Arial"/>
          <w:sz w:val="24"/>
          <w:szCs w:val="24"/>
        </w:rPr>
      </w:pPr>
    </w:p>
    <w:p w14:paraId="7D4A07CF" w14:textId="77777777" w:rsidR="00053DFE" w:rsidRDefault="00053DFE" w:rsidP="00053DFE">
      <w:pPr>
        <w:spacing w:line="360" w:lineRule="auto"/>
      </w:pPr>
    </w:p>
    <w:p w14:paraId="2C722E1A" w14:textId="335F5B36" w:rsidR="00053DFE" w:rsidRDefault="00053DFE">
      <w:r>
        <w:br w:type="page"/>
      </w:r>
    </w:p>
    <w:p w14:paraId="6C3AF032" w14:textId="2C1D963E" w:rsidR="00053DFE" w:rsidRDefault="00053DFE" w:rsidP="00053DFE">
      <w:pPr>
        <w:spacing w:line="360" w:lineRule="auto"/>
      </w:pPr>
      <w:r>
        <w:lastRenderedPageBreak/>
        <w:t>Slide 2</w:t>
      </w:r>
    </w:p>
    <w:p w14:paraId="1C7189C2" w14:textId="77777777" w:rsidR="00053DFE" w:rsidRDefault="00053DFE" w:rsidP="00053DFE">
      <w:pPr>
        <w:spacing w:line="360" w:lineRule="auto"/>
      </w:pPr>
    </w:p>
    <w:p w14:paraId="0D74E6D4" w14:textId="51A08CCB" w:rsidR="00053DFE" w:rsidRDefault="00053DFE" w:rsidP="00053DFE">
      <w:pPr>
        <w:spacing w:line="360" w:lineRule="auto"/>
        <w:jc w:val="center"/>
      </w:pPr>
      <w:r>
        <w:object w:dxaOrig="9605" w:dyaOrig="5393" w14:anchorId="468CD90E">
          <v:shape id="_x0000_i1026" type="#_x0000_t75" style="width:5in;height:202.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6" DrawAspect="Content" ObjectID="_1798459697" r:id="rId7"/>
        </w:object>
      </w:r>
    </w:p>
    <w:p w14:paraId="7C463DD6" w14:textId="77777777" w:rsidR="00053DFE" w:rsidRDefault="00053DFE" w:rsidP="00053DFE">
      <w:pPr>
        <w:spacing w:line="360" w:lineRule="auto"/>
        <w:jc w:val="center"/>
      </w:pPr>
    </w:p>
    <w:p w14:paraId="2CF6FE65" w14:textId="77777777" w:rsidR="00053DFE" w:rsidRDefault="00053DFE" w:rsidP="00053DFE">
      <w:pPr>
        <w:autoSpaceDE w:val="0"/>
        <w:autoSpaceDN w:val="0"/>
        <w:adjustRightInd w:val="0"/>
        <w:spacing w:after="0" w:line="240" w:lineRule="auto"/>
        <w:rPr>
          <w:rFonts w:ascii="Aptos" w:hAnsi="Aptos" w:cs="Aptos"/>
          <w:color w:val="242424"/>
          <w:kern w:val="24"/>
          <w:sz w:val="24"/>
          <w:szCs w:val="24"/>
        </w:rPr>
      </w:pPr>
      <w:r>
        <w:rPr>
          <w:rFonts w:ascii="Aptos" w:hAnsi="Aptos" w:cs="Aptos"/>
          <w:color w:val="242424"/>
          <w:kern w:val="24"/>
          <w:sz w:val="24"/>
          <w:szCs w:val="24"/>
        </w:rPr>
        <w:t>This CCO meeting is an opportunity for local government representatives to work with FEMA Region 3, state government representatives, and members of the project team on strategies and resources for public outreach, how to provide comments/appeals to the preliminary information, the ordinance update and adoption process, and other questions/answers related to the National Flood Insurance Program (NFIP) and getting the new FIRMs to effective status.</w:t>
      </w:r>
      <w:r>
        <w:rPr>
          <w:rFonts w:ascii="Aptos" w:hAnsi="Aptos" w:cs="Aptos"/>
          <w:color w:val="242424"/>
          <w:kern w:val="24"/>
          <w:sz w:val="24"/>
          <w:szCs w:val="24"/>
        </w:rPr>
        <w:br/>
      </w:r>
    </w:p>
    <w:p w14:paraId="1A8A36D8"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This CCO meeting is organized by the National Flood Insurance Program (NFIP), a voluntary program that works to reduce future flood losses by guiding development away from hazardous areas, and by encouraging communities to:</w:t>
      </w:r>
    </w:p>
    <w:p w14:paraId="4366C141"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Know Your Risk: Identify flood hazards through mapping.</w:t>
      </w:r>
    </w:p>
    <w:p w14:paraId="5810AAB6"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 </w:t>
      </w:r>
      <w:proofErr w:type="gramStart"/>
      <w:r>
        <w:rPr>
          <w:rFonts w:ascii="Aptos" w:hAnsi="Aptos" w:cs="Aptos"/>
          <w:kern w:val="24"/>
          <w:sz w:val="24"/>
          <w:szCs w:val="24"/>
        </w:rPr>
        <w:t>Insure</w:t>
      </w:r>
      <w:proofErr w:type="gramEnd"/>
      <w:r>
        <w:rPr>
          <w:rFonts w:ascii="Aptos" w:hAnsi="Aptos" w:cs="Aptos"/>
          <w:kern w:val="24"/>
          <w:sz w:val="24"/>
          <w:szCs w:val="24"/>
        </w:rPr>
        <w:t xml:space="preserve"> Your Risk: Provide insurance and outreach measures.</w:t>
      </w:r>
    </w:p>
    <w:p w14:paraId="1271E8A1" w14:textId="77777777" w:rsidR="00053DFE" w:rsidRDefault="00053DFE" w:rsidP="00053DFE">
      <w:pPr>
        <w:autoSpaceDE w:val="0"/>
        <w:autoSpaceDN w:val="0"/>
        <w:adjustRightInd w:val="0"/>
        <w:spacing w:after="0" w:line="240" w:lineRule="auto"/>
        <w:rPr>
          <w:rFonts w:ascii="Aptos" w:hAnsi="Aptos" w:cs="Aptos"/>
          <w:color w:val="242424"/>
          <w:kern w:val="24"/>
          <w:sz w:val="24"/>
          <w:szCs w:val="24"/>
        </w:rPr>
      </w:pPr>
      <w:r>
        <w:rPr>
          <w:rFonts w:ascii="Aptos" w:hAnsi="Aptos" w:cs="Aptos"/>
          <w:kern w:val="24"/>
          <w:sz w:val="24"/>
          <w:szCs w:val="24"/>
        </w:rPr>
        <w:t>• Reduce Your Risk: Manage floodplains through ordinances, mitigation practice and resiliency efforts.</w:t>
      </w:r>
    </w:p>
    <w:p w14:paraId="36F61A2B" w14:textId="77777777" w:rsidR="00053DFE" w:rsidRDefault="00053DFE" w:rsidP="00053DFE">
      <w:pPr>
        <w:autoSpaceDE w:val="0"/>
        <w:autoSpaceDN w:val="0"/>
        <w:adjustRightInd w:val="0"/>
        <w:spacing w:after="0" w:line="240" w:lineRule="auto"/>
        <w:rPr>
          <w:rFonts w:ascii="Aptos" w:hAnsi="Aptos" w:cs="Aptos"/>
          <w:color w:val="242424"/>
          <w:kern w:val="24"/>
          <w:sz w:val="24"/>
          <w:szCs w:val="24"/>
        </w:rPr>
      </w:pPr>
    </w:p>
    <w:p w14:paraId="1A56A782"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Community To-Do List</w:t>
      </w:r>
    </w:p>
    <w:p w14:paraId="0964EF6F"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Review the preliminary FIRM. Make corrections, share comments and submit appeals to FEMA through the community Chief Executive Officer (CEO), when appropriate.</w:t>
      </w:r>
    </w:p>
    <w:p w14:paraId="07CD537F" w14:textId="250E34E5" w:rsidR="00053DFE" w:rsidRDefault="00053DFE" w:rsidP="00053DFE">
      <w:pPr>
        <w:autoSpaceDE w:val="0"/>
        <w:autoSpaceDN w:val="0"/>
        <w:adjustRightInd w:val="0"/>
        <w:spacing w:after="0" w:line="240" w:lineRule="auto"/>
        <w:rPr>
          <w:rFonts w:ascii="Arial" w:hAnsi="Arial" w:cs="Arial"/>
          <w:sz w:val="24"/>
          <w:szCs w:val="24"/>
        </w:rPr>
      </w:pPr>
      <w:r>
        <w:rPr>
          <w:rFonts w:ascii="Aptos" w:hAnsi="Aptos" w:cs="Aptos"/>
          <w:kern w:val="24"/>
          <w:sz w:val="24"/>
          <w:szCs w:val="24"/>
        </w:rPr>
        <w:t>• Reach out to notify residents, businesses and property owners affected by the changes on the FIRM.</w:t>
      </w:r>
    </w:p>
    <w:p w14:paraId="1C480776" w14:textId="77777777" w:rsidR="00053DFE" w:rsidRDefault="00053DFE" w:rsidP="00053DFE">
      <w:pPr>
        <w:spacing w:line="360" w:lineRule="auto"/>
      </w:pPr>
    </w:p>
    <w:p w14:paraId="51F57E09" w14:textId="51F106BF" w:rsidR="00053DFE" w:rsidRDefault="00053DFE">
      <w:r>
        <w:br w:type="page"/>
      </w:r>
    </w:p>
    <w:p w14:paraId="269CA14F" w14:textId="61E517F5" w:rsidR="00053DFE" w:rsidRDefault="00053DFE" w:rsidP="00053DFE">
      <w:pPr>
        <w:spacing w:line="360" w:lineRule="auto"/>
      </w:pPr>
      <w:r>
        <w:lastRenderedPageBreak/>
        <w:t>Slide 3</w:t>
      </w:r>
    </w:p>
    <w:p w14:paraId="02230FB8" w14:textId="77777777" w:rsidR="00053DFE" w:rsidRDefault="00053DFE" w:rsidP="00053DFE">
      <w:pPr>
        <w:spacing w:line="360" w:lineRule="auto"/>
      </w:pPr>
    </w:p>
    <w:p w14:paraId="330EB818" w14:textId="0B803784" w:rsidR="00053DFE" w:rsidRDefault="00053DFE" w:rsidP="00053DFE">
      <w:pPr>
        <w:spacing w:line="360" w:lineRule="auto"/>
        <w:jc w:val="center"/>
      </w:pPr>
      <w:r>
        <w:object w:dxaOrig="9605" w:dyaOrig="5393" w14:anchorId="73C56C72">
          <v:shape id="_x0000_i1027" type="#_x0000_t75" style="width:5in;height:202.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7" DrawAspect="Content" ObjectID="_1798459698" r:id="rId9"/>
        </w:object>
      </w:r>
    </w:p>
    <w:p w14:paraId="012D2EBE" w14:textId="77777777" w:rsidR="00053DFE" w:rsidRDefault="00053DFE" w:rsidP="00053DFE">
      <w:pPr>
        <w:spacing w:line="360" w:lineRule="auto"/>
        <w:jc w:val="center"/>
      </w:pPr>
    </w:p>
    <w:p w14:paraId="1902FD3A" w14:textId="77777777" w:rsidR="00053DFE" w:rsidRDefault="00053DFE" w:rsidP="00053DFE">
      <w:pPr>
        <w:autoSpaceDE w:val="0"/>
        <w:autoSpaceDN w:val="0"/>
        <w:adjustRightInd w:val="0"/>
        <w:spacing w:after="0" w:line="240" w:lineRule="auto"/>
        <w:rPr>
          <w:rFonts w:ascii="Aptos" w:hAnsi="Aptos" w:cs="Aptos"/>
          <w:color w:val="363636"/>
          <w:kern w:val="24"/>
          <w:sz w:val="24"/>
          <w:szCs w:val="24"/>
        </w:rPr>
      </w:pPr>
      <w:r>
        <w:rPr>
          <w:rFonts w:ascii="Aptos" w:hAnsi="Aptos" w:cs="Aptos"/>
          <w:color w:val="363636"/>
          <w:kern w:val="24"/>
          <w:sz w:val="24"/>
          <w:szCs w:val="24"/>
        </w:rPr>
        <w:t>The preliminary FIRM shows flood risk zones in a community, including Special Flood Hazard Areas (SFHAs), subject to inundation by the base (1%-percent-annual-chance) flood. The 1%-annual-chance flood is also referred to as the 100-year flood.</w:t>
      </w:r>
    </w:p>
    <w:p w14:paraId="22B95B8F" w14:textId="77777777" w:rsidR="00053DFE" w:rsidRDefault="00053DFE" w:rsidP="00053DFE">
      <w:pPr>
        <w:autoSpaceDE w:val="0"/>
        <w:autoSpaceDN w:val="0"/>
        <w:adjustRightInd w:val="0"/>
        <w:spacing w:after="0" w:line="240" w:lineRule="auto"/>
        <w:rPr>
          <w:rFonts w:ascii="Aptos" w:hAnsi="Aptos" w:cs="Aptos"/>
          <w:color w:val="363636"/>
          <w:kern w:val="24"/>
          <w:sz w:val="24"/>
          <w:szCs w:val="24"/>
        </w:rPr>
      </w:pPr>
    </w:p>
    <w:p w14:paraId="3BFA4D59"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color w:val="363636"/>
          <w:kern w:val="24"/>
          <w:sz w:val="24"/>
          <w:szCs w:val="24"/>
        </w:rPr>
        <w:t xml:space="preserve">Communities like </w:t>
      </w:r>
      <w:r>
        <w:rPr>
          <w:rFonts w:ascii="Aptos" w:hAnsi="Aptos" w:cs="Aptos"/>
          <w:b/>
          <w:bCs/>
          <w:color w:val="363636"/>
          <w:kern w:val="24"/>
          <w:sz w:val="24"/>
          <w:szCs w:val="24"/>
        </w:rPr>
        <w:t xml:space="preserve">Harpers Ferry </w:t>
      </w:r>
      <w:r>
        <w:rPr>
          <w:rFonts w:ascii="Aptos" w:hAnsi="Aptos" w:cs="Aptos"/>
          <w:color w:val="363636"/>
          <w:kern w:val="24"/>
          <w:sz w:val="24"/>
          <w:szCs w:val="24"/>
        </w:rPr>
        <w:t>should review its preliminary Flood Insurance Rate Map (FIRM) where structures are being mapped into a high-risk Special Flood Hazard Area, and where the base flood elevation is decreasing by 24 feet due to the revised 1%-annual-chance backwater effect where Shenandoah River meets the larger Potomac River.</w:t>
      </w:r>
    </w:p>
    <w:p w14:paraId="0C76255A" w14:textId="77777777" w:rsidR="00053DFE" w:rsidRDefault="00053DFE" w:rsidP="00053DFE">
      <w:pPr>
        <w:autoSpaceDE w:val="0"/>
        <w:autoSpaceDN w:val="0"/>
        <w:adjustRightInd w:val="0"/>
        <w:spacing w:after="0" w:line="240" w:lineRule="auto"/>
        <w:rPr>
          <w:rFonts w:ascii="Arial" w:hAnsi="Arial" w:cs="Arial"/>
          <w:sz w:val="24"/>
          <w:szCs w:val="24"/>
        </w:rPr>
      </w:pPr>
    </w:p>
    <w:p w14:paraId="2C8DF6E3" w14:textId="77777777" w:rsidR="00053DFE" w:rsidRDefault="00053DFE" w:rsidP="00053DFE">
      <w:pPr>
        <w:spacing w:line="360" w:lineRule="auto"/>
      </w:pPr>
    </w:p>
    <w:p w14:paraId="76CD43FE" w14:textId="3BB66F1E" w:rsidR="00053DFE" w:rsidRDefault="00053DFE">
      <w:r>
        <w:br w:type="page"/>
      </w:r>
    </w:p>
    <w:p w14:paraId="60D1B7E0" w14:textId="6887EE61" w:rsidR="00053DFE" w:rsidRDefault="00053DFE" w:rsidP="00053DFE">
      <w:pPr>
        <w:spacing w:line="360" w:lineRule="auto"/>
      </w:pPr>
      <w:r>
        <w:lastRenderedPageBreak/>
        <w:t>Slide 4</w:t>
      </w:r>
    </w:p>
    <w:p w14:paraId="0782FF25" w14:textId="77777777" w:rsidR="00053DFE" w:rsidRDefault="00053DFE" w:rsidP="00053DFE">
      <w:pPr>
        <w:spacing w:line="360" w:lineRule="auto"/>
      </w:pPr>
    </w:p>
    <w:p w14:paraId="01C315D3" w14:textId="192ED129" w:rsidR="00053DFE" w:rsidRDefault="00053DFE" w:rsidP="00053DFE">
      <w:pPr>
        <w:spacing w:line="360" w:lineRule="auto"/>
        <w:jc w:val="center"/>
      </w:pPr>
      <w:r>
        <w:object w:dxaOrig="9605" w:dyaOrig="5393" w14:anchorId="004EAA4D">
          <v:shape id="_x0000_i1028" type="#_x0000_t75" style="width:5in;height:202.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8" DrawAspect="Content" ObjectID="_1798459699" r:id="rId11"/>
        </w:object>
      </w:r>
    </w:p>
    <w:p w14:paraId="05AA75CE" w14:textId="77777777" w:rsidR="00053DFE" w:rsidRDefault="00053DFE" w:rsidP="00053DFE">
      <w:pPr>
        <w:spacing w:line="360" w:lineRule="auto"/>
        <w:jc w:val="center"/>
      </w:pPr>
    </w:p>
    <w:p w14:paraId="362682F1"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Preliminary maps show the high-risk floodplain of </w:t>
      </w:r>
      <w:r>
        <w:rPr>
          <w:rFonts w:ascii="Aptos" w:hAnsi="Aptos" w:cs="Aptos"/>
          <w:b/>
          <w:bCs/>
          <w:kern w:val="24"/>
          <w:sz w:val="24"/>
          <w:szCs w:val="24"/>
        </w:rPr>
        <w:t>Shepherdstown</w:t>
      </w:r>
      <w:r>
        <w:rPr>
          <w:rFonts w:ascii="Aptos" w:hAnsi="Aptos" w:cs="Aptos"/>
          <w:kern w:val="24"/>
          <w:sz w:val="24"/>
          <w:szCs w:val="24"/>
        </w:rPr>
        <w:t xml:space="preserve"> is changing dramatically, and consequently these floodplain boundary changes between the current 2009 effective and 2024 preliminary flood maps should be viewed using the WV Flood Tool’s Risk MAP View (SFHA Building Changes - Building Changes Since Last FIRM) and FEMA’s Changes Since Last FIRM (CSLF) Viewer.  </w:t>
      </w:r>
      <w:r>
        <w:rPr>
          <w:rFonts w:ascii="Aptos" w:hAnsi="Aptos" w:cs="Aptos"/>
          <w:b/>
          <w:bCs/>
          <w:kern w:val="24"/>
          <w:sz w:val="24"/>
          <w:szCs w:val="24"/>
        </w:rPr>
        <w:t xml:space="preserve">Shepherdstown </w:t>
      </w:r>
      <w:r>
        <w:rPr>
          <w:rFonts w:ascii="Aptos" w:hAnsi="Aptos" w:cs="Aptos"/>
          <w:kern w:val="24"/>
          <w:sz w:val="24"/>
          <w:szCs w:val="24"/>
        </w:rPr>
        <w:t xml:space="preserve">has nearly 30 structures being mapped into the updated Special Flood Hazard Area, and so it is the community’s responsibility to notify property owners and other stakeholders that they will be affected by the map changes.  </w:t>
      </w:r>
    </w:p>
    <w:p w14:paraId="7E7A25FF" w14:textId="77777777" w:rsidR="00053DFE" w:rsidRDefault="00053DFE" w:rsidP="00053DFE">
      <w:pPr>
        <w:autoSpaceDE w:val="0"/>
        <w:autoSpaceDN w:val="0"/>
        <w:adjustRightInd w:val="0"/>
        <w:spacing w:after="0" w:line="240" w:lineRule="auto"/>
        <w:rPr>
          <w:rFonts w:ascii="Arial" w:hAnsi="Arial" w:cs="Arial"/>
          <w:sz w:val="24"/>
          <w:szCs w:val="24"/>
        </w:rPr>
      </w:pPr>
    </w:p>
    <w:p w14:paraId="05968F58" w14:textId="77777777" w:rsidR="00053DFE" w:rsidRDefault="00053DFE" w:rsidP="00053DFE">
      <w:pPr>
        <w:spacing w:line="360" w:lineRule="auto"/>
      </w:pPr>
    </w:p>
    <w:p w14:paraId="2E094929" w14:textId="3548737A" w:rsidR="00053DFE" w:rsidRDefault="00053DFE">
      <w:r>
        <w:br w:type="page"/>
      </w:r>
    </w:p>
    <w:p w14:paraId="3782D109" w14:textId="309A0536" w:rsidR="00053DFE" w:rsidRDefault="00053DFE" w:rsidP="00053DFE">
      <w:pPr>
        <w:spacing w:line="360" w:lineRule="auto"/>
      </w:pPr>
      <w:r>
        <w:lastRenderedPageBreak/>
        <w:t>Slide 5</w:t>
      </w:r>
    </w:p>
    <w:p w14:paraId="24B1F01D" w14:textId="77777777" w:rsidR="00053DFE" w:rsidRDefault="00053DFE" w:rsidP="00053DFE">
      <w:pPr>
        <w:spacing w:line="360" w:lineRule="auto"/>
      </w:pPr>
    </w:p>
    <w:p w14:paraId="3705C417" w14:textId="6BA7B78B" w:rsidR="00053DFE" w:rsidRDefault="00053DFE" w:rsidP="00053DFE">
      <w:pPr>
        <w:spacing w:line="360" w:lineRule="auto"/>
        <w:jc w:val="center"/>
      </w:pPr>
      <w:r>
        <w:object w:dxaOrig="9605" w:dyaOrig="5393" w14:anchorId="2A75A42F">
          <v:shape id="_x0000_i1029" type="#_x0000_t75" style="width:5in;height:202.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9" DrawAspect="Content" ObjectID="_1798459700" r:id="rId13"/>
        </w:object>
      </w:r>
    </w:p>
    <w:p w14:paraId="59F622EA" w14:textId="77777777" w:rsidR="00053DFE" w:rsidRDefault="00053DFE" w:rsidP="00053DFE">
      <w:pPr>
        <w:spacing w:line="360" w:lineRule="auto"/>
        <w:jc w:val="center"/>
      </w:pPr>
    </w:p>
    <w:p w14:paraId="4ED15FF2"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Preliminary map changes for </w:t>
      </w:r>
      <w:r>
        <w:rPr>
          <w:rFonts w:ascii="Aptos" w:hAnsi="Aptos" w:cs="Aptos"/>
          <w:b/>
          <w:bCs/>
          <w:kern w:val="24"/>
          <w:sz w:val="24"/>
          <w:szCs w:val="24"/>
        </w:rPr>
        <w:t xml:space="preserve">Jefferson County Unincorporated </w:t>
      </w:r>
      <w:r>
        <w:rPr>
          <w:rFonts w:ascii="Aptos" w:hAnsi="Aptos" w:cs="Aptos"/>
          <w:kern w:val="24"/>
          <w:sz w:val="24"/>
          <w:szCs w:val="24"/>
        </w:rPr>
        <w:t>show “mapped-in structures” (orange symbol color) along streams where studies have been extended; or “mapped-out” structures (yellow symbol color) along existing streams due to more accurate topographic data and updated hydrologic/hydraulic flood studies.</w:t>
      </w:r>
    </w:p>
    <w:p w14:paraId="515A94B0" w14:textId="77777777" w:rsidR="00053DFE" w:rsidRDefault="00053DFE" w:rsidP="00053DFE">
      <w:pPr>
        <w:autoSpaceDE w:val="0"/>
        <w:autoSpaceDN w:val="0"/>
        <w:adjustRightInd w:val="0"/>
        <w:spacing w:after="0" w:line="240" w:lineRule="auto"/>
        <w:rPr>
          <w:rFonts w:ascii="Arial" w:hAnsi="Arial" w:cs="Arial"/>
          <w:sz w:val="24"/>
          <w:szCs w:val="24"/>
        </w:rPr>
      </w:pPr>
    </w:p>
    <w:p w14:paraId="5061225B" w14:textId="77777777" w:rsidR="00053DFE" w:rsidRDefault="00053DFE" w:rsidP="00053DFE">
      <w:pPr>
        <w:spacing w:line="360" w:lineRule="auto"/>
      </w:pPr>
    </w:p>
    <w:p w14:paraId="7961A902" w14:textId="329DB6BA" w:rsidR="00053DFE" w:rsidRDefault="00053DFE">
      <w:r>
        <w:br w:type="page"/>
      </w:r>
    </w:p>
    <w:p w14:paraId="6777C0EE" w14:textId="78314F9C" w:rsidR="00053DFE" w:rsidRDefault="00053DFE" w:rsidP="00053DFE">
      <w:pPr>
        <w:spacing w:line="360" w:lineRule="auto"/>
      </w:pPr>
      <w:r>
        <w:lastRenderedPageBreak/>
        <w:t>Slide 6</w:t>
      </w:r>
    </w:p>
    <w:p w14:paraId="15EB7BE6" w14:textId="77777777" w:rsidR="00053DFE" w:rsidRDefault="00053DFE" w:rsidP="00053DFE">
      <w:pPr>
        <w:spacing w:line="360" w:lineRule="auto"/>
      </w:pPr>
    </w:p>
    <w:p w14:paraId="524D7F2B" w14:textId="191A34F4" w:rsidR="00053DFE" w:rsidRDefault="00053DFE" w:rsidP="00053DFE">
      <w:pPr>
        <w:spacing w:line="360" w:lineRule="auto"/>
        <w:jc w:val="center"/>
      </w:pPr>
      <w:r>
        <w:object w:dxaOrig="9605" w:dyaOrig="5393" w14:anchorId="56B125AD">
          <v:shape id="_x0000_i1030" type="#_x0000_t75" style="width:5in;height:202.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30" DrawAspect="Content" ObjectID="_1798459701" r:id="rId15"/>
        </w:object>
      </w:r>
    </w:p>
    <w:p w14:paraId="27FA0212" w14:textId="77777777" w:rsidR="00053DFE" w:rsidRDefault="00053DFE" w:rsidP="00053DFE">
      <w:pPr>
        <w:spacing w:line="360" w:lineRule="auto"/>
        <w:jc w:val="center"/>
      </w:pPr>
    </w:p>
    <w:p w14:paraId="51A29224"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The WV Flood Tool’s Risk MAP View shows the future building status change according to the new flood maps:</w:t>
      </w:r>
      <w:r>
        <w:rPr>
          <w:rFonts w:ascii="Aptos" w:hAnsi="Aptos" w:cs="Aptos"/>
          <w:kern w:val="24"/>
          <w:sz w:val="24"/>
          <w:szCs w:val="24"/>
        </w:rPr>
        <w:br/>
      </w:r>
    </w:p>
    <w:p w14:paraId="64CD41CC"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 </w:t>
      </w:r>
      <w:r>
        <w:rPr>
          <w:rFonts w:ascii="Aptos" w:hAnsi="Aptos" w:cs="Aptos"/>
          <w:b/>
          <w:bCs/>
          <w:kern w:val="24"/>
          <w:sz w:val="24"/>
          <w:szCs w:val="24"/>
        </w:rPr>
        <w:t xml:space="preserve">Mapped Out SFHA </w:t>
      </w:r>
      <w:r>
        <w:rPr>
          <w:rFonts w:ascii="Aptos" w:hAnsi="Aptos" w:cs="Aptos"/>
          <w:kern w:val="24"/>
          <w:sz w:val="24"/>
          <w:szCs w:val="24"/>
        </w:rPr>
        <w:t xml:space="preserve">(yellow square symbol). Communities should notify property owners of map-in SFHA changes.  Additionally, these structures may be candidates for LiDAR LOMAS. </w:t>
      </w:r>
    </w:p>
    <w:p w14:paraId="31621D55"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 </w:t>
      </w:r>
      <w:r>
        <w:rPr>
          <w:rFonts w:ascii="Aptos" w:hAnsi="Aptos" w:cs="Aptos"/>
          <w:b/>
          <w:bCs/>
          <w:kern w:val="24"/>
          <w:sz w:val="24"/>
          <w:szCs w:val="24"/>
        </w:rPr>
        <w:t xml:space="preserve">Mapped In SFHA </w:t>
      </w:r>
      <w:r>
        <w:rPr>
          <w:rFonts w:ascii="Aptos" w:hAnsi="Aptos" w:cs="Aptos"/>
          <w:kern w:val="24"/>
          <w:sz w:val="24"/>
          <w:szCs w:val="24"/>
        </w:rPr>
        <w:t xml:space="preserve">(orange circle symbol).  Communities should notify property owners of map-out SFHA changes. </w:t>
      </w:r>
    </w:p>
    <w:p w14:paraId="1C0C00C6"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 </w:t>
      </w:r>
      <w:r>
        <w:rPr>
          <w:rFonts w:ascii="Aptos" w:hAnsi="Aptos" w:cs="Aptos"/>
          <w:b/>
          <w:bCs/>
          <w:kern w:val="24"/>
          <w:sz w:val="24"/>
          <w:szCs w:val="24"/>
        </w:rPr>
        <w:t xml:space="preserve">No Change </w:t>
      </w:r>
      <w:r>
        <w:rPr>
          <w:rFonts w:ascii="Aptos" w:hAnsi="Aptos" w:cs="Aptos"/>
          <w:kern w:val="24"/>
          <w:sz w:val="24"/>
          <w:szCs w:val="24"/>
        </w:rPr>
        <w:t>- Remains Same in SFHA (red hexagon symbol).</w:t>
      </w:r>
    </w:p>
    <w:p w14:paraId="13867CEE"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 </w:t>
      </w:r>
      <w:r>
        <w:rPr>
          <w:rFonts w:ascii="Aptos" w:hAnsi="Aptos" w:cs="Aptos"/>
          <w:b/>
          <w:bCs/>
          <w:kern w:val="24"/>
          <w:sz w:val="24"/>
          <w:szCs w:val="24"/>
        </w:rPr>
        <w:t>Floodway</w:t>
      </w:r>
      <w:r>
        <w:rPr>
          <w:rFonts w:ascii="Aptos" w:hAnsi="Aptos" w:cs="Aptos"/>
          <w:kern w:val="24"/>
          <w:sz w:val="24"/>
          <w:szCs w:val="24"/>
        </w:rPr>
        <w:t xml:space="preserve"> (star symbol)</w:t>
      </w:r>
    </w:p>
    <w:p w14:paraId="29737780" w14:textId="77777777" w:rsidR="00053DFE" w:rsidRDefault="00053DFE" w:rsidP="00053DFE">
      <w:pPr>
        <w:autoSpaceDE w:val="0"/>
        <w:autoSpaceDN w:val="0"/>
        <w:adjustRightInd w:val="0"/>
        <w:spacing w:after="0" w:line="240" w:lineRule="auto"/>
        <w:rPr>
          <w:rFonts w:ascii="Arial" w:hAnsi="Arial" w:cs="Arial"/>
          <w:sz w:val="24"/>
          <w:szCs w:val="24"/>
        </w:rPr>
      </w:pPr>
    </w:p>
    <w:p w14:paraId="2F43F778" w14:textId="77777777" w:rsidR="00053DFE" w:rsidRDefault="00053DFE" w:rsidP="00053DFE">
      <w:pPr>
        <w:spacing w:line="360" w:lineRule="auto"/>
      </w:pPr>
    </w:p>
    <w:p w14:paraId="4881C885" w14:textId="35F681FD" w:rsidR="00053DFE" w:rsidRDefault="00053DFE">
      <w:r>
        <w:br w:type="page"/>
      </w:r>
    </w:p>
    <w:p w14:paraId="4CE5A16C" w14:textId="206E9643" w:rsidR="00053DFE" w:rsidRDefault="00053DFE" w:rsidP="00053DFE">
      <w:pPr>
        <w:spacing w:line="360" w:lineRule="auto"/>
      </w:pPr>
      <w:r>
        <w:lastRenderedPageBreak/>
        <w:t>Slide 7</w:t>
      </w:r>
    </w:p>
    <w:p w14:paraId="582E312D" w14:textId="77777777" w:rsidR="00053DFE" w:rsidRDefault="00053DFE" w:rsidP="00053DFE">
      <w:pPr>
        <w:spacing w:line="360" w:lineRule="auto"/>
      </w:pPr>
    </w:p>
    <w:p w14:paraId="3E1720EA" w14:textId="0980B5C0" w:rsidR="00053DFE" w:rsidRDefault="00053DFE" w:rsidP="00053DFE">
      <w:pPr>
        <w:spacing w:line="360" w:lineRule="auto"/>
        <w:jc w:val="center"/>
      </w:pPr>
      <w:r>
        <w:object w:dxaOrig="9605" w:dyaOrig="5393" w14:anchorId="64F0A97E">
          <v:shape id="_x0000_i1031" type="#_x0000_t75" style="width:5in;height:202.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1" DrawAspect="Content" ObjectID="_1798459702" r:id="rId17"/>
        </w:object>
      </w:r>
    </w:p>
    <w:p w14:paraId="26D45FDE" w14:textId="77777777" w:rsidR="00053DFE" w:rsidRDefault="00053DFE" w:rsidP="00053DFE">
      <w:pPr>
        <w:spacing w:line="360" w:lineRule="auto"/>
        <w:jc w:val="center"/>
      </w:pPr>
    </w:p>
    <w:p w14:paraId="1D286C51"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Tax assessment records and aerial imagery allow for a more detailed inventory of primary buildings within the Special Flood Hazard Area and Regulatory Floodway.  For </w:t>
      </w:r>
      <w:proofErr w:type="gramStart"/>
      <w:r>
        <w:rPr>
          <w:rFonts w:ascii="Aptos" w:hAnsi="Aptos" w:cs="Aptos"/>
          <w:b/>
          <w:bCs/>
          <w:kern w:val="24"/>
          <w:sz w:val="24"/>
          <w:szCs w:val="24"/>
        </w:rPr>
        <w:t>Jefferson county</w:t>
      </w:r>
      <w:proofErr w:type="gramEnd"/>
      <w:r>
        <w:rPr>
          <w:rFonts w:ascii="Aptos" w:hAnsi="Aptos" w:cs="Aptos"/>
          <w:kern w:val="24"/>
          <w:sz w:val="24"/>
          <w:szCs w:val="24"/>
        </w:rPr>
        <w:t xml:space="preserve">, the preliminary flood maps reveal a net total of 499 structures in the preliminary SFHA, with 123 structures mapped-in the SFHA and 276 structures (more than double) mapped out.  The countywide building net change is minus 153 and minus 14 structures in the preliminary SFHA and Floodway, respectively.  Communities should contact the State NFIP Office for technical assistance in mailing notification letters to property owners that will be affected by these map changes.   </w:t>
      </w:r>
    </w:p>
    <w:p w14:paraId="32D027CF" w14:textId="77777777" w:rsidR="00053DFE" w:rsidRDefault="00053DFE" w:rsidP="00053DFE">
      <w:pPr>
        <w:autoSpaceDE w:val="0"/>
        <w:autoSpaceDN w:val="0"/>
        <w:adjustRightInd w:val="0"/>
        <w:spacing w:after="0" w:line="240" w:lineRule="auto"/>
        <w:rPr>
          <w:rFonts w:ascii="Arial" w:hAnsi="Arial" w:cs="Arial"/>
          <w:sz w:val="24"/>
          <w:szCs w:val="24"/>
        </w:rPr>
      </w:pPr>
    </w:p>
    <w:p w14:paraId="76C3BD4B" w14:textId="77777777" w:rsidR="00053DFE" w:rsidRDefault="00053DFE" w:rsidP="00053DFE">
      <w:pPr>
        <w:spacing w:line="360" w:lineRule="auto"/>
      </w:pPr>
    </w:p>
    <w:p w14:paraId="253E56BE" w14:textId="63927AAF" w:rsidR="00053DFE" w:rsidRDefault="00053DFE">
      <w:r>
        <w:br w:type="page"/>
      </w:r>
    </w:p>
    <w:p w14:paraId="0579663E" w14:textId="1D5403C2" w:rsidR="00053DFE" w:rsidRDefault="00053DFE" w:rsidP="00053DFE">
      <w:pPr>
        <w:spacing w:line="360" w:lineRule="auto"/>
      </w:pPr>
      <w:r>
        <w:lastRenderedPageBreak/>
        <w:t>Slide 8</w:t>
      </w:r>
    </w:p>
    <w:p w14:paraId="7B6C78E6" w14:textId="77777777" w:rsidR="00053DFE" w:rsidRDefault="00053DFE" w:rsidP="00053DFE">
      <w:pPr>
        <w:spacing w:line="360" w:lineRule="auto"/>
      </w:pPr>
    </w:p>
    <w:p w14:paraId="09A99043" w14:textId="0AA7A448" w:rsidR="00053DFE" w:rsidRDefault="00053DFE" w:rsidP="00053DFE">
      <w:pPr>
        <w:spacing w:line="360" w:lineRule="auto"/>
        <w:jc w:val="center"/>
      </w:pPr>
      <w:r>
        <w:object w:dxaOrig="9605" w:dyaOrig="5393" w14:anchorId="27B03D8B">
          <v:shape id="_x0000_i1032" type="#_x0000_t75" style="width:5in;height:202.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2" DrawAspect="Content" ObjectID="_1798459703" r:id="rId19"/>
        </w:object>
      </w:r>
    </w:p>
    <w:p w14:paraId="701CC0EC" w14:textId="77777777" w:rsidR="00053DFE" w:rsidRDefault="00053DFE" w:rsidP="00053DFE">
      <w:pPr>
        <w:spacing w:line="360" w:lineRule="auto"/>
        <w:jc w:val="center"/>
      </w:pPr>
    </w:p>
    <w:p w14:paraId="1DF10795" w14:textId="77777777" w:rsidR="00053DFE" w:rsidRDefault="00053DFE" w:rsidP="00053DFE">
      <w:pPr>
        <w:autoSpaceDE w:val="0"/>
        <w:autoSpaceDN w:val="0"/>
        <w:adjustRightInd w:val="0"/>
        <w:spacing w:after="0" w:line="240" w:lineRule="auto"/>
        <w:rPr>
          <w:rFonts w:ascii="Aptos" w:eastAsia="Times New Roman" w:hAnsi="Times New Roman" w:cs="Aptos"/>
          <w:kern w:val="24"/>
          <w:sz w:val="24"/>
          <w:szCs w:val="24"/>
        </w:rPr>
      </w:pPr>
      <w:r>
        <w:rPr>
          <w:rFonts w:ascii="Aptos" w:hAnsi="Aptos" w:cs="Aptos"/>
          <w:kern w:val="24"/>
          <w:sz w:val="24"/>
          <w:szCs w:val="24"/>
        </w:rPr>
        <w:t xml:space="preserve">Communities should also notify property owners being mapped into </w:t>
      </w:r>
      <w:r>
        <w:rPr>
          <w:rFonts w:ascii="Aptos" w:eastAsia="Times New Roman" w:hAnsi="Times New Roman" w:cs="Aptos"/>
          <w:kern w:val="24"/>
          <w:sz w:val="24"/>
          <w:szCs w:val="24"/>
        </w:rPr>
        <w:t xml:space="preserve">a much higher risk flood zone of the Special Flood Hazard Area (SFHA), known as the </w:t>
      </w:r>
      <w:r>
        <w:rPr>
          <w:rFonts w:ascii="Aptos" w:eastAsia="Times New Roman" w:hAnsi="Times New Roman" w:cs="Aptos"/>
          <w:b/>
          <w:bCs/>
          <w:kern w:val="24"/>
          <w:sz w:val="24"/>
          <w:szCs w:val="24"/>
        </w:rPr>
        <w:t>Regulatory Floodway</w:t>
      </w:r>
      <w:r>
        <w:rPr>
          <w:rFonts w:ascii="Aptos" w:eastAsia="Times New Roman" w:hAnsi="Times New Roman" w:cs="Aptos"/>
          <w:kern w:val="24"/>
          <w:sz w:val="24"/>
          <w:szCs w:val="24"/>
        </w:rPr>
        <w:t xml:space="preserve">, or the main channel of the river/stream where floodwaters are likely the deepest and with the highest velocities. Before a local permit can be issued for proposed development in the floodway, a </w:t>
      </w:r>
      <w:r>
        <w:rPr>
          <w:rFonts w:ascii="Aptos" w:eastAsia="Times New Roman" w:hAnsi="Times New Roman" w:cs="Aptos"/>
          <w:kern w:val="24"/>
          <w:sz w:val="24"/>
          <w:szCs w:val="24"/>
        </w:rPr>
        <w:t>“</w:t>
      </w:r>
      <w:r>
        <w:rPr>
          <w:rFonts w:ascii="Aptos" w:eastAsia="Times New Roman" w:hAnsi="Times New Roman" w:cs="Aptos"/>
          <w:kern w:val="24"/>
          <w:sz w:val="24"/>
          <w:szCs w:val="24"/>
        </w:rPr>
        <w:t>No-Rise/No Impact</w:t>
      </w:r>
      <w:r>
        <w:rPr>
          <w:rFonts w:ascii="Aptos" w:eastAsia="Times New Roman" w:hAnsi="Times New Roman" w:cs="Aptos"/>
          <w:kern w:val="24"/>
          <w:sz w:val="24"/>
          <w:szCs w:val="24"/>
        </w:rPr>
        <w:t>”</w:t>
      </w:r>
      <w:r>
        <w:rPr>
          <w:rFonts w:ascii="Aptos" w:eastAsia="Times New Roman" w:hAnsi="Times New Roman" w:cs="Aptos"/>
          <w:kern w:val="24"/>
          <w:sz w:val="24"/>
          <w:szCs w:val="24"/>
        </w:rPr>
        <w:t xml:space="preserve"> certification must be submitted by a professional engineer licensed in West Virginia to ensure a proposed project won</w:t>
      </w:r>
      <w:r>
        <w:rPr>
          <w:rFonts w:ascii="Aptos" w:eastAsia="Times New Roman" w:hAnsi="Times New Roman" w:cs="Aptos"/>
          <w:kern w:val="24"/>
          <w:sz w:val="24"/>
          <w:szCs w:val="24"/>
        </w:rPr>
        <w:t>’</w:t>
      </w:r>
      <w:r>
        <w:rPr>
          <w:rFonts w:ascii="Aptos" w:eastAsia="Times New Roman" w:hAnsi="Times New Roman" w:cs="Aptos"/>
          <w:kern w:val="24"/>
          <w:sz w:val="24"/>
          <w:szCs w:val="24"/>
        </w:rPr>
        <w:t>t increase flood levels.</w:t>
      </w:r>
    </w:p>
    <w:p w14:paraId="42BCA1F7"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 </w:t>
      </w:r>
    </w:p>
    <w:p w14:paraId="599E5B78" w14:textId="77777777" w:rsidR="00053DFE" w:rsidRDefault="00053DFE" w:rsidP="00053DFE">
      <w:pPr>
        <w:autoSpaceDE w:val="0"/>
        <w:autoSpaceDN w:val="0"/>
        <w:adjustRightInd w:val="0"/>
        <w:spacing w:after="0" w:line="240" w:lineRule="auto"/>
        <w:rPr>
          <w:rFonts w:ascii="Arial" w:hAnsi="Arial" w:cs="Arial"/>
          <w:sz w:val="24"/>
          <w:szCs w:val="24"/>
        </w:rPr>
      </w:pPr>
    </w:p>
    <w:p w14:paraId="2784CD26" w14:textId="77777777" w:rsidR="00053DFE" w:rsidRDefault="00053DFE" w:rsidP="00053DFE">
      <w:pPr>
        <w:spacing w:line="360" w:lineRule="auto"/>
      </w:pPr>
    </w:p>
    <w:p w14:paraId="34426A32" w14:textId="72F0D2E2" w:rsidR="00053DFE" w:rsidRDefault="00053DFE">
      <w:r>
        <w:br w:type="page"/>
      </w:r>
    </w:p>
    <w:p w14:paraId="1BD71653" w14:textId="2580291F" w:rsidR="00053DFE" w:rsidRDefault="00053DFE" w:rsidP="00053DFE">
      <w:pPr>
        <w:spacing w:line="360" w:lineRule="auto"/>
      </w:pPr>
      <w:r>
        <w:lastRenderedPageBreak/>
        <w:t>Slide 9</w:t>
      </w:r>
    </w:p>
    <w:p w14:paraId="2FE32E5A" w14:textId="77777777" w:rsidR="00053DFE" w:rsidRDefault="00053DFE" w:rsidP="00053DFE">
      <w:pPr>
        <w:spacing w:line="360" w:lineRule="auto"/>
      </w:pPr>
    </w:p>
    <w:p w14:paraId="7EEBAB09" w14:textId="3EBC7DDC" w:rsidR="00053DFE" w:rsidRDefault="00053DFE" w:rsidP="00053DFE">
      <w:pPr>
        <w:spacing w:line="360" w:lineRule="auto"/>
        <w:jc w:val="center"/>
      </w:pPr>
      <w:r>
        <w:object w:dxaOrig="9605" w:dyaOrig="5393" w14:anchorId="5FECC3D9">
          <v:shape id="_x0000_i1033" type="#_x0000_t75" style="width:5in;height:202.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3" DrawAspect="Content" ObjectID="_1798459704" r:id="rId21"/>
        </w:object>
      </w:r>
    </w:p>
    <w:p w14:paraId="737E2F22" w14:textId="77777777" w:rsidR="00053DFE" w:rsidRDefault="00053DFE" w:rsidP="00053DFE">
      <w:pPr>
        <w:spacing w:line="360" w:lineRule="auto"/>
        <w:jc w:val="center"/>
      </w:pPr>
    </w:p>
    <w:p w14:paraId="0077DCF9" w14:textId="77777777" w:rsidR="00053DFE" w:rsidRDefault="00053DFE" w:rsidP="00053DFE">
      <w:pPr>
        <w:autoSpaceDE w:val="0"/>
        <w:autoSpaceDN w:val="0"/>
        <w:adjustRightInd w:val="0"/>
        <w:spacing w:after="0" w:line="240" w:lineRule="auto"/>
        <w:rPr>
          <w:rFonts w:ascii="Aptos" w:hAnsi="Aptos" w:cs="Aptos"/>
          <w:color w:val="000000"/>
          <w:kern w:val="24"/>
          <w:sz w:val="24"/>
          <w:szCs w:val="24"/>
        </w:rPr>
      </w:pPr>
      <w:r>
        <w:rPr>
          <w:rFonts w:ascii="Aptos" w:hAnsi="Aptos" w:cs="Aptos"/>
          <w:kern w:val="24"/>
          <w:sz w:val="24"/>
          <w:szCs w:val="24"/>
        </w:rPr>
        <w:t>Communities should contact the State NFIP Office for technical support in creating outreach letters for property owners affected by the map changes.  Based on mail merge templates, outreach letters on community letterhead</w:t>
      </w:r>
      <w:r>
        <w:rPr>
          <w:rFonts w:ascii="Aptos" w:hAnsi="Aptos" w:cs="Aptos"/>
          <w:color w:val="000000"/>
          <w:kern w:val="24"/>
          <w:sz w:val="24"/>
          <w:szCs w:val="24"/>
        </w:rPr>
        <w:t xml:space="preserve"> can be generated for all (1) SFHA Mapped-In, (2) Mapped-In Floodway,  and (3) SFHA Mapped-Out structures shown on the WV Flood Tool’s RiskMAP View (</w:t>
      </w:r>
      <w:r>
        <w:rPr>
          <w:rFonts w:ascii="Aptos" w:hAnsi="Aptos" w:cs="Aptos"/>
          <w:color w:val="0000FF"/>
          <w:kern w:val="24"/>
          <w:sz w:val="24"/>
          <w:szCs w:val="24"/>
          <w:u w:val="single"/>
        </w:rPr>
        <w:t>www.mapwv.gov/Flood</w:t>
      </w:r>
      <w:r>
        <w:rPr>
          <w:rFonts w:ascii="Aptos" w:hAnsi="Aptos" w:cs="Aptos"/>
          <w:color w:val="000000"/>
          <w:kern w:val="24"/>
          <w:sz w:val="24"/>
          <w:szCs w:val="24"/>
        </w:rPr>
        <w:t>).  All the communities must do is </w:t>
      </w:r>
      <w:r>
        <w:rPr>
          <w:rFonts w:ascii="Aptos" w:hAnsi="Aptos" w:cs="Aptos"/>
          <w:b/>
          <w:bCs/>
          <w:color w:val="000000"/>
          <w:kern w:val="24"/>
          <w:sz w:val="24"/>
          <w:szCs w:val="24"/>
        </w:rPr>
        <w:t>download the files, then print, validate, and mail the letters</w:t>
      </w:r>
      <w:r>
        <w:rPr>
          <w:rFonts w:ascii="Aptos" w:hAnsi="Aptos" w:cs="Aptos"/>
          <w:color w:val="000000"/>
          <w:kern w:val="24"/>
          <w:sz w:val="24"/>
          <w:szCs w:val="24"/>
        </w:rPr>
        <w:t>.  CRS communities like Jefferson County Unincorporated should be eligible for credit points for this outreach activity. </w:t>
      </w:r>
    </w:p>
    <w:p w14:paraId="1164EAEA" w14:textId="77777777" w:rsidR="00053DFE" w:rsidRDefault="00053DFE" w:rsidP="00053DFE">
      <w:pPr>
        <w:autoSpaceDE w:val="0"/>
        <w:autoSpaceDN w:val="0"/>
        <w:adjustRightInd w:val="0"/>
        <w:spacing w:after="0" w:line="240" w:lineRule="auto"/>
        <w:rPr>
          <w:rFonts w:ascii="Aptos" w:hAnsi="Aptos" w:cs="Aptos"/>
          <w:color w:val="000000"/>
          <w:kern w:val="24"/>
          <w:sz w:val="24"/>
          <w:szCs w:val="24"/>
        </w:rPr>
      </w:pPr>
    </w:p>
    <w:p w14:paraId="6794DE29" w14:textId="77777777" w:rsidR="00053DFE" w:rsidRDefault="00053DFE" w:rsidP="00053DFE">
      <w:pPr>
        <w:autoSpaceDE w:val="0"/>
        <w:autoSpaceDN w:val="0"/>
        <w:adjustRightInd w:val="0"/>
        <w:spacing w:after="0" w:line="240" w:lineRule="auto"/>
        <w:rPr>
          <w:rFonts w:ascii="Aptos" w:hAnsi="Aptos" w:cs="Aptos"/>
          <w:color w:val="000000"/>
          <w:kern w:val="24"/>
          <w:sz w:val="24"/>
          <w:szCs w:val="24"/>
        </w:rPr>
      </w:pPr>
      <w:r>
        <w:rPr>
          <w:rFonts w:ascii="Aptos" w:hAnsi="Aptos" w:cs="Aptos"/>
          <w:color w:val="000000"/>
          <w:kern w:val="24"/>
          <w:sz w:val="24"/>
          <w:szCs w:val="24"/>
        </w:rPr>
        <w:t xml:space="preserve">For the SFHA mapped-out letters, it is important to have this text included in the letter template:  "If you do currently have flood insurance, you should not cancel your flood insurance before the new flood maps are officially adopted by the community. Moreover, if you have a </w:t>
      </w:r>
      <w:proofErr w:type="gramStart"/>
      <w:r>
        <w:rPr>
          <w:rFonts w:ascii="Aptos" w:hAnsi="Aptos" w:cs="Aptos"/>
          <w:color w:val="000000"/>
          <w:kern w:val="24"/>
          <w:sz w:val="24"/>
          <w:szCs w:val="24"/>
        </w:rPr>
        <w:t>federally-backed</w:t>
      </w:r>
      <w:proofErr w:type="gramEnd"/>
      <w:r>
        <w:rPr>
          <w:rFonts w:ascii="Aptos" w:hAnsi="Aptos" w:cs="Aptos"/>
          <w:color w:val="000000"/>
          <w:kern w:val="24"/>
          <w:sz w:val="24"/>
          <w:szCs w:val="24"/>
        </w:rPr>
        <w:t xml:space="preserve"> mortgage, NEVER cancel your flood insurance before consulting your mortgage lender!“</w:t>
      </w:r>
    </w:p>
    <w:p w14:paraId="551BB75A" w14:textId="77777777" w:rsidR="00053DFE" w:rsidRDefault="00053DFE" w:rsidP="00053DFE">
      <w:pPr>
        <w:autoSpaceDE w:val="0"/>
        <w:autoSpaceDN w:val="0"/>
        <w:adjustRightInd w:val="0"/>
        <w:spacing w:after="0" w:line="240" w:lineRule="auto"/>
        <w:rPr>
          <w:rFonts w:ascii="Aptos" w:hAnsi="Aptos" w:cs="Aptos"/>
          <w:color w:val="000000"/>
          <w:kern w:val="24"/>
          <w:sz w:val="24"/>
          <w:szCs w:val="24"/>
        </w:rPr>
      </w:pPr>
      <w:r>
        <w:rPr>
          <w:rFonts w:ascii="Aptos" w:hAnsi="Aptos" w:cs="Aptos"/>
          <w:color w:val="000000"/>
          <w:kern w:val="24"/>
          <w:sz w:val="24"/>
          <w:szCs w:val="24"/>
        </w:rPr>
        <w:t>Another useful resource about the Regulatory Update is FEMA’s Risk Communication Guidebook for Local Officials.</w:t>
      </w:r>
      <w:r>
        <w:rPr>
          <w:rFonts w:ascii="Aptos" w:hAnsi="Aptos" w:cs="Aptos"/>
          <w:color w:val="000000"/>
          <w:kern w:val="24"/>
          <w:sz w:val="24"/>
          <w:szCs w:val="24"/>
        </w:rPr>
        <w:br/>
      </w:r>
      <w:r>
        <w:rPr>
          <w:rFonts w:ascii="Aptos" w:hAnsi="Aptos" w:cs="Aptos"/>
          <w:color w:val="000000"/>
          <w:kern w:val="24"/>
          <w:sz w:val="24"/>
          <w:szCs w:val="24"/>
          <w:u w:val="single"/>
        </w:rPr>
        <w:t>https://www.fema.gov/sites/default/files/documents/fema_region-6_risk-communications-guidebook_112023.pdf#page=25</w:t>
      </w:r>
    </w:p>
    <w:p w14:paraId="2355E1CC" w14:textId="77777777" w:rsidR="00053DFE" w:rsidRDefault="00053DFE" w:rsidP="00053DFE">
      <w:pPr>
        <w:autoSpaceDE w:val="0"/>
        <w:autoSpaceDN w:val="0"/>
        <w:adjustRightInd w:val="0"/>
        <w:spacing w:after="0" w:line="240" w:lineRule="auto"/>
        <w:rPr>
          <w:rFonts w:ascii="Aptos" w:hAnsi="Aptos" w:cs="Aptos"/>
          <w:color w:val="000000"/>
          <w:kern w:val="24"/>
          <w:sz w:val="24"/>
          <w:szCs w:val="24"/>
        </w:rPr>
      </w:pPr>
    </w:p>
    <w:p w14:paraId="30C40A61" w14:textId="77777777" w:rsidR="00053DFE" w:rsidRDefault="00053DFE" w:rsidP="00053DFE">
      <w:pPr>
        <w:autoSpaceDE w:val="0"/>
        <w:autoSpaceDN w:val="0"/>
        <w:adjustRightInd w:val="0"/>
        <w:spacing w:after="0" w:line="240" w:lineRule="auto"/>
        <w:rPr>
          <w:rFonts w:ascii="Aptos" w:hAnsi="Aptos" w:cs="Aptos"/>
          <w:color w:val="000000"/>
          <w:kern w:val="24"/>
          <w:sz w:val="24"/>
          <w:szCs w:val="24"/>
        </w:rPr>
      </w:pPr>
    </w:p>
    <w:p w14:paraId="6BCEF8B6" w14:textId="77777777" w:rsidR="00053DFE" w:rsidRDefault="00053DFE" w:rsidP="00053DFE">
      <w:pPr>
        <w:autoSpaceDE w:val="0"/>
        <w:autoSpaceDN w:val="0"/>
        <w:adjustRightInd w:val="0"/>
        <w:spacing w:after="0" w:line="240" w:lineRule="auto"/>
        <w:rPr>
          <w:rFonts w:ascii="Aptos" w:hAnsi="Aptos" w:cs="Aptos"/>
          <w:color w:val="000000"/>
          <w:kern w:val="24"/>
          <w:sz w:val="24"/>
          <w:szCs w:val="24"/>
        </w:rPr>
      </w:pPr>
    </w:p>
    <w:p w14:paraId="7E285746"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color w:val="000000"/>
          <w:kern w:val="24"/>
          <w:sz w:val="24"/>
          <w:szCs w:val="24"/>
        </w:rPr>
        <w:br/>
        <w:t> </w:t>
      </w:r>
    </w:p>
    <w:p w14:paraId="6CA90DB1" w14:textId="77777777" w:rsidR="00053DFE" w:rsidRDefault="00053DFE" w:rsidP="00053DFE">
      <w:pPr>
        <w:autoSpaceDE w:val="0"/>
        <w:autoSpaceDN w:val="0"/>
        <w:adjustRightInd w:val="0"/>
        <w:spacing w:after="0" w:line="240" w:lineRule="auto"/>
        <w:rPr>
          <w:rFonts w:ascii="Arial" w:hAnsi="Arial" w:cs="Arial"/>
          <w:sz w:val="24"/>
          <w:szCs w:val="24"/>
        </w:rPr>
      </w:pPr>
    </w:p>
    <w:p w14:paraId="04EB9C4A" w14:textId="77777777" w:rsidR="00053DFE" w:rsidRDefault="00053DFE" w:rsidP="00053DFE">
      <w:pPr>
        <w:spacing w:line="360" w:lineRule="auto"/>
      </w:pPr>
    </w:p>
    <w:p w14:paraId="2480F9FB" w14:textId="0302D2ED" w:rsidR="00053DFE" w:rsidRDefault="00053DFE">
      <w:r>
        <w:br w:type="page"/>
      </w:r>
    </w:p>
    <w:p w14:paraId="1E627F2E" w14:textId="43B5BA37" w:rsidR="00053DFE" w:rsidRDefault="00053DFE" w:rsidP="00053DFE">
      <w:pPr>
        <w:spacing w:line="360" w:lineRule="auto"/>
      </w:pPr>
      <w:r>
        <w:lastRenderedPageBreak/>
        <w:t>Slide 10</w:t>
      </w:r>
    </w:p>
    <w:p w14:paraId="2D660D48" w14:textId="77777777" w:rsidR="00053DFE" w:rsidRDefault="00053DFE" w:rsidP="00053DFE">
      <w:pPr>
        <w:spacing w:line="360" w:lineRule="auto"/>
      </w:pPr>
    </w:p>
    <w:p w14:paraId="225BAF57" w14:textId="793CCCE5" w:rsidR="00053DFE" w:rsidRDefault="00053DFE" w:rsidP="00053DFE">
      <w:pPr>
        <w:spacing w:line="360" w:lineRule="auto"/>
        <w:jc w:val="center"/>
      </w:pPr>
      <w:r>
        <w:object w:dxaOrig="9605" w:dyaOrig="5393" w14:anchorId="5046186C">
          <v:shape id="_x0000_i1034" type="#_x0000_t75" style="width:5in;height:202.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4" DrawAspect="Content" ObjectID="_1798459705" r:id="rId23"/>
        </w:object>
      </w:r>
    </w:p>
    <w:p w14:paraId="47FB3567" w14:textId="77777777" w:rsidR="00053DFE" w:rsidRDefault="00053DFE" w:rsidP="00053DFE">
      <w:pPr>
        <w:spacing w:line="360" w:lineRule="auto"/>
        <w:jc w:val="center"/>
      </w:pPr>
    </w:p>
    <w:p w14:paraId="0B0C4F83"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Before the preliminary FIRMS become effective, property owners with structures that are mapped out of the SFHA (yellow square symbols on WV Flood Tool’s RiskMAP View) may be eligible for a</w:t>
      </w:r>
      <w:r>
        <w:rPr>
          <w:rFonts w:ascii="Aptos" w:hAnsi="Aptos" w:cs="Aptos"/>
          <w:b/>
          <w:bCs/>
          <w:kern w:val="24"/>
          <w:sz w:val="24"/>
          <w:szCs w:val="24"/>
        </w:rPr>
        <w:t xml:space="preserve"> LiDAR Letter of Map Amendment</w:t>
      </w:r>
      <w:r>
        <w:rPr>
          <w:rFonts w:ascii="Aptos" w:hAnsi="Aptos" w:cs="Aptos"/>
          <w:kern w:val="24"/>
          <w:sz w:val="24"/>
          <w:szCs w:val="24"/>
        </w:rPr>
        <w:t xml:space="preserve"> (LOMA).</w:t>
      </w:r>
    </w:p>
    <w:p w14:paraId="72531D7E" w14:textId="77777777" w:rsidR="00053DFE" w:rsidRDefault="00053DFE" w:rsidP="00053DFE">
      <w:pPr>
        <w:autoSpaceDE w:val="0"/>
        <w:autoSpaceDN w:val="0"/>
        <w:adjustRightInd w:val="0"/>
        <w:spacing w:after="0" w:line="240" w:lineRule="auto"/>
        <w:rPr>
          <w:rFonts w:ascii="Aptos" w:hAnsi="Aptos" w:cs="Aptos"/>
          <w:kern w:val="24"/>
          <w:sz w:val="24"/>
          <w:szCs w:val="24"/>
        </w:rPr>
      </w:pPr>
    </w:p>
    <w:p w14:paraId="799F60DB"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It is estimated that 276 structures are mapped out of the SFHA for the entire county.  If applicable, LiDAR data can replace the requirement to submit certified elevation information for LOMAs, which can create a cost savings for property owners requiring mandatory flood insurance.  If property owners want to expedite the removal of their structure from the SFHA, then refer to the information links regarding LiDAR LOMAs for more guidance.  </w:t>
      </w:r>
    </w:p>
    <w:p w14:paraId="7253BBF3" w14:textId="77777777" w:rsidR="00053DFE" w:rsidRDefault="00053DFE" w:rsidP="00053DFE">
      <w:pPr>
        <w:autoSpaceDE w:val="0"/>
        <w:autoSpaceDN w:val="0"/>
        <w:adjustRightInd w:val="0"/>
        <w:spacing w:after="0" w:line="240" w:lineRule="auto"/>
        <w:rPr>
          <w:rFonts w:ascii="Arial" w:hAnsi="Arial" w:cs="Arial"/>
          <w:sz w:val="24"/>
          <w:szCs w:val="24"/>
        </w:rPr>
      </w:pPr>
    </w:p>
    <w:p w14:paraId="2C03FDFD" w14:textId="77777777" w:rsidR="00053DFE" w:rsidRDefault="00053DFE" w:rsidP="00053DFE">
      <w:pPr>
        <w:spacing w:line="360" w:lineRule="auto"/>
      </w:pPr>
    </w:p>
    <w:p w14:paraId="68B0370E" w14:textId="4B3CF1BF" w:rsidR="00053DFE" w:rsidRDefault="00053DFE">
      <w:r>
        <w:br w:type="page"/>
      </w:r>
    </w:p>
    <w:p w14:paraId="7C13082C" w14:textId="012D6D62" w:rsidR="00053DFE" w:rsidRDefault="00053DFE" w:rsidP="00053DFE">
      <w:pPr>
        <w:spacing w:line="360" w:lineRule="auto"/>
      </w:pPr>
      <w:r>
        <w:lastRenderedPageBreak/>
        <w:t>Slide 11</w:t>
      </w:r>
    </w:p>
    <w:p w14:paraId="4EF7D001" w14:textId="77777777" w:rsidR="00053DFE" w:rsidRDefault="00053DFE" w:rsidP="00053DFE">
      <w:pPr>
        <w:spacing w:line="360" w:lineRule="auto"/>
      </w:pPr>
    </w:p>
    <w:p w14:paraId="0511E87C" w14:textId="1ACC684E" w:rsidR="00053DFE" w:rsidRDefault="00053DFE" w:rsidP="00053DFE">
      <w:pPr>
        <w:spacing w:line="360" w:lineRule="auto"/>
        <w:jc w:val="center"/>
      </w:pPr>
      <w:r>
        <w:object w:dxaOrig="9605" w:dyaOrig="5393" w14:anchorId="44B3452D">
          <v:shape id="_x0000_i1035" type="#_x0000_t75" style="width:5in;height:202.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5" DrawAspect="Content" ObjectID="_1798459706" r:id="rId25"/>
        </w:object>
      </w:r>
    </w:p>
    <w:p w14:paraId="1F809F66" w14:textId="77777777" w:rsidR="00053DFE" w:rsidRDefault="00053DFE" w:rsidP="00053DFE">
      <w:pPr>
        <w:spacing w:line="360" w:lineRule="auto"/>
        <w:jc w:val="center"/>
      </w:pPr>
    </w:p>
    <w:p w14:paraId="4AE08BFF"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Risk assessment results of 156 major rivers/streams in the state reveal that </w:t>
      </w:r>
      <w:r>
        <w:rPr>
          <w:rFonts w:ascii="Aptos" w:hAnsi="Aptos" w:cs="Aptos"/>
          <w:b/>
          <w:bCs/>
          <w:kern w:val="24"/>
          <w:sz w:val="24"/>
          <w:szCs w:val="24"/>
        </w:rPr>
        <w:t xml:space="preserve">Town Run </w:t>
      </w:r>
      <w:r>
        <w:rPr>
          <w:rFonts w:ascii="Aptos" w:hAnsi="Aptos" w:cs="Aptos"/>
          <w:kern w:val="24"/>
          <w:sz w:val="24"/>
          <w:szCs w:val="24"/>
        </w:rPr>
        <w:t xml:space="preserve">and </w:t>
      </w:r>
      <w:r>
        <w:rPr>
          <w:rFonts w:ascii="Aptos" w:hAnsi="Aptos" w:cs="Aptos"/>
          <w:b/>
          <w:bCs/>
          <w:kern w:val="24"/>
          <w:sz w:val="24"/>
          <w:szCs w:val="24"/>
        </w:rPr>
        <w:t xml:space="preserve">Shenandoah River </w:t>
      </w:r>
      <w:r>
        <w:rPr>
          <w:rFonts w:ascii="Aptos" w:hAnsi="Aptos" w:cs="Aptos"/>
          <w:kern w:val="24"/>
          <w:sz w:val="24"/>
          <w:szCs w:val="24"/>
        </w:rPr>
        <w:t xml:space="preserve">have high building values and thus more dollar exposure to flood damage. Both the </w:t>
      </w:r>
      <w:r>
        <w:rPr>
          <w:rFonts w:ascii="Aptos" w:hAnsi="Aptos" w:cs="Aptos"/>
          <w:b/>
          <w:bCs/>
          <w:kern w:val="24"/>
          <w:sz w:val="24"/>
          <w:szCs w:val="24"/>
        </w:rPr>
        <w:t>Shenandoah</w:t>
      </w:r>
      <w:r>
        <w:rPr>
          <w:rFonts w:ascii="Aptos" w:hAnsi="Aptos" w:cs="Aptos"/>
          <w:kern w:val="24"/>
          <w:sz w:val="24"/>
          <w:szCs w:val="24"/>
        </w:rPr>
        <w:t xml:space="preserve"> and </w:t>
      </w:r>
      <w:r>
        <w:rPr>
          <w:rFonts w:ascii="Aptos" w:hAnsi="Aptos" w:cs="Aptos"/>
          <w:b/>
          <w:bCs/>
          <w:kern w:val="24"/>
          <w:sz w:val="24"/>
          <w:szCs w:val="24"/>
        </w:rPr>
        <w:t xml:space="preserve">Potomac Rivers </w:t>
      </w:r>
      <w:r>
        <w:rPr>
          <w:rFonts w:ascii="Aptos" w:hAnsi="Aptos" w:cs="Aptos"/>
          <w:kern w:val="24"/>
          <w:sz w:val="24"/>
          <w:szCs w:val="24"/>
        </w:rPr>
        <w:t xml:space="preserve">have high flood depth medians values (&gt; 4.5 feet) for a 1%-annual-chance (100-yr) flood which translates to a potential for higher damage losses and loss of life.  </w:t>
      </w:r>
    </w:p>
    <w:p w14:paraId="23679001" w14:textId="77777777" w:rsidR="00053DFE" w:rsidRDefault="00053DFE" w:rsidP="00053DFE">
      <w:pPr>
        <w:autoSpaceDE w:val="0"/>
        <w:autoSpaceDN w:val="0"/>
        <w:adjustRightInd w:val="0"/>
        <w:spacing w:after="0" w:line="240" w:lineRule="auto"/>
        <w:rPr>
          <w:rFonts w:ascii="Arial" w:hAnsi="Arial" w:cs="Arial"/>
          <w:sz w:val="24"/>
          <w:szCs w:val="24"/>
        </w:rPr>
      </w:pPr>
    </w:p>
    <w:p w14:paraId="6E4473E1" w14:textId="77777777" w:rsidR="00053DFE" w:rsidRDefault="00053DFE" w:rsidP="00053DFE">
      <w:pPr>
        <w:spacing w:line="360" w:lineRule="auto"/>
      </w:pPr>
    </w:p>
    <w:p w14:paraId="0C76A333" w14:textId="3E5F86D6" w:rsidR="00053DFE" w:rsidRDefault="00053DFE">
      <w:r>
        <w:br w:type="page"/>
      </w:r>
    </w:p>
    <w:p w14:paraId="71C49921" w14:textId="1E337B94" w:rsidR="00053DFE" w:rsidRDefault="00053DFE" w:rsidP="00053DFE">
      <w:pPr>
        <w:spacing w:line="360" w:lineRule="auto"/>
      </w:pPr>
      <w:r>
        <w:lastRenderedPageBreak/>
        <w:t>Slide 12</w:t>
      </w:r>
    </w:p>
    <w:p w14:paraId="2505C24C" w14:textId="77777777" w:rsidR="00053DFE" w:rsidRDefault="00053DFE" w:rsidP="00053DFE">
      <w:pPr>
        <w:spacing w:line="360" w:lineRule="auto"/>
      </w:pPr>
    </w:p>
    <w:p w14:paraId="1707FE83" w14:textId="523B87DE" w:rsidR="00053DFE" w:rsidRDefault="00053DFE" w:rsidP="00053DFE">
      <w:pPr>
        <w:spacing w:line="360" w:lineRule="auto"/>
        <w:jc w:val="center"/>
      </w:pPr>
      <w:r>
        <w:object w:dxaOrig="9605" w:dyaOrig="5393" w14:anchorId="57013138">
          <v:shape id="_x0000_i1036" type="#_x0000_t75" style="width:5in;height:202.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6" DrawAspect="Content" ObjectID="_1798459707" r:id="rId27"/>
        </w:object>
      </w:r>
    </w:p>
    <w:p w14:paraId="11601F34" w14:textId="77777777" w:rsidR="00053DFE" w:rsidRDefault="00053DFE" w:rsidP="00053DFE">
      <w:pPr>
        <w:spacing w:line="360" w:lineRule="auto"/>
        <w:jc w:val="center"/>
      </w:pPr>
    </w:p>
    <w:p w14:paraId="2C586D6F"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A river/stream building risk assessment for </w:t>
      </w:r>
      <w:proofErr w:type="gramStart"/>
      <w:r>
        <w:rPr>
          <w:rFonts w:ascii="Aptos" w:hAnsi="Aptos" w:cs="Aptos"/>
          <w:kern w:val="24"/>
          <w:sz w:val="24"/>
          <w:szCs w:val="24"/>
        </w:rPr>
        <w:t>Region</w:t>
      </w:r>
      <w:proofErr w:type="gramEnd"/>
      <w:r>
        <w:rPr>
          <w:rFonts w:ascii="Aptos" w:hAnsi="Aptos" w:cs="Aptos"/>
          <w:kern w:val="24"/>
          <w:sz w:val="24"/>
          <w:szCs w:val="24"/>
        </w:rPr>
        <w:t xml:space="preserve"> 9 and Jefferson County reveals that the </w:t>
      </w:r>
      <w:r>
        <w:rPr>
          <w:rFonts w:ascii="Aptos" w:hAnsi="Aptos" w:cs="Aptos"/>
          <w:b/>
          <w:bCs/>
          <w:kern w:val="24"/>
          <w:sz w:val="24"/>
          <w:szCs w:val="24"/>
        </w:rPr>
        <w:t xml:space="preserve">Potomac River </w:t>
      </w:r>
      <w:r>
        <w:rPr>
          <w:rFonts w:ascii="Aptos" w:hAnsi="Aptos" w:cs="Aptos"/>
          <w:kern w:val="24"/>
          <w:sz w:val="24"/>
          <w:szCs w:val="24"/>
        </w:rPr>
        <w:t xml:space="preserve">has the most structures mapped in the SFHA while </w:t>
      </w:r>
      <w:r>
        <w:rPr>
          <w:rFonts w:ascii="Aptos" w:hAnsi="Aptos" w:cs="Aptos"/>
          <w:b/>
          <w:bCs/>
          <w:kern w:val="24"/>
          <w:sz w:val="24"/>
          <w:szCs w:val="24"/>
        </w:rPr>
        <w:t xml:space="preserve">Town Run </w:t>
      </w:r>
      <w:r>
        <w:rPr>
          <w:rFonts w:ascii="Aptos" w:hAnsi="Aptos" w:cs="Aptos"/>
          <w:kern w:val="24"/>
          <w:sz w:val="24"/>
          <w:szCs w:val="24"/>
        </w:rPr>
        <w:t>has fewer structures but the largest cumulative building value.</w:t>
      </w:r>
    </w:p>
    <w:p w14:paraId="576AF697" w14:textId="77777777" w:rsidR="00053DFE" w:rsidRDefault="00053DFE" w:rsidP="00053DFE">
      <w:pPr>
        <w:autoSpaceDE w:val="0"/>
        <w:autoSpaceDN w:val="0"/>
        <w:adjustRightInd w:val="0"/>
        <w:spacing w:after="0" w:line="240" w:lineRule="auto"/>
        <w:rPr>
          <w:rFonts w:ascii="Arial" w:hAnsi="Arial" w:cs="Arial"/>
          <w:sz w:val="24"/>
          <w:szCs w:val="24"/>
        </w:rPr>
      </w:pPr>
    </w:p>
    <w:p w14:paraId="3A5C70A5" w14:textId="77777777" w:rsidR="00053DFE" w:rsidRDefault="00053DFE" w:rsidP="00053DFE">
      <w:pPr>
        <w:spacing w:line="360" w:lineRule="auto"/>
      </w:pPr>
    </w:p>
    <w:p w14:paraId="63A56975" w14:textId="5BCBA2B1" w:rsidR="00053DFE" w:rsidRDefault="00053DFE">
      <w:r>
        <w:br w:type="page"/>
      </w:r>
    </w:p>
    <w:p w14:paraId="2E2D3D70" w14:textId="189AC310" w:rsidR="00053DFE" w:rsidRDefault="00053DFE" w:rsidP="00053DFE">
      <w:pPr>
        <w:spacing w:line="360" w:lineRule="auto"/>
      </w:pPr>
      <w:r>
        <w:lastRenderedPageBreak/>
        <w:t>Slide 13</w:t>
      </w:r>
    </w:p>
    <w:p w14:paraId="3F45473A" w14:textId="77777777" w:rsidR="00053DFE" w:rsidRDefault="00053DFE" w:rsidP="00053DFE">
      <w:pPr>
        <w:spacing w:line="360" w:lineRule="auto"/>
      </w:pPr>
    </w:p>
    <w:p w14:paraId="6DF8B837" w14:textId="3708C0E5" w:rsidR="00053DFE" w:rsidRDefault="00053DFE" w:rsidP="00053DFE">
      <w:pPr>
        <w:spacing w:line="360" w:lineRule="auto"/>
        <w:jc w:val="center"/>
      </w:pPr>
      <w:r>
        <w:object w:dxaOrig="9605" w:dyaOrig="5393" w14:anchorId="33F3AE26">
          <v:shape id="_x0000_i1037" type="#_x0000_t75" style="width:5in;height:202.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7" DrawAspect="Content" ObjectID="_1798459708" r:id="rId29"/>
        </w:object>
      </w:r>
    </w:p>
    <w:p w14:paraId="6362EF6B" w14:textId="77777777" w:rsidR="00053DFE" w:rsidRDefault="00053DFE" w:rsidP="00053DFE">
      <w:pPr>
        <w:spacing w:line="360" w:lineRule="auto"/>
        <w:jc w:val="center"/>
      </w:pPr>
    </w:p>
    <w:p w14:paraId="36EDB955" w14:textId="77777777" w:rsidR="00053DFE" w:rsidRDefault="00053DFE" w:rsidP="00053DFE">
      <w:pPr>
        <w:autoSpaceDE w:val="0"/>
        <w:autoSpaceDN w:val="0"/>
        <w:adjustRightInd w:val="0"/>
        <w:spacing w:after="0" w:line="240" w:lineRule="auto"/>
        <w:rPr>
          <w:rFonts w:ascii="Aptos" w:hAnsi="Aptos" w:cs="Aptos"/>
          <w:kern w:val="24"/>
          <w:sz w:val="24"/>
          <w:szCs w:val="24"/>
        </w:rPr>
      </w:pPr>
      <w:r>
        <w:rPr>
          <w:rFonts w:ascii="Aptos" w:hAnsi="Aptos" w:cs="Aptos"/>
          <w:kern w:val="24"/>
          <w:sz w:val="24"/>
          <w:szCs w:val="24"/>
        </w:rPr>
        <w:t xml:space="preserve">A Top 20% Risk Indicators Report reveals that </w:t>
      </w:r>
      <w:r>
        <w:rPr>
          <w:rFonts w:ascii="Aptos" w:hAnsi="Aptos" w:cs="Aptos"/>
          <w:b/>
          <w:bCs/>
          <w:kern w:val="24"/>
          <w:sz w:val="24"/>
          <w:szCs w:val="24"/>
        </w:rPr>
        <w:t xml:space="preserve">Jefferson County </w:t>
      </w:r>
      <w:r>
        <w:rPr>
          <w:rFonts w:ascii="Aptos" w:hAnsi="Aptos" w:cs="Aptos"/>
          <w:kern w:val="24"/>
          <w:sz w:val="24"/>
          <w:szCs w:val="24"/>
        </w:rPr>
        <w:t xml:space="preserve">and </w:t>
      </w:r>
      <w:r>
        <w:rPr>
          <w:rFonts w:ascii="Aptos" w:hAnsi="Aptos" w:cs="Aptos"/>
          <w:b/>
          <w:bCs/>
          <w:kern w:val="24"/>
          <w:sz w:val="24"/>
          <w:szCs w:val="24"/>
        </w:rPr>
        <w:t xml:space="preserve">Jefferson County Unincorporated </w:t>
      </w:r>
      <w:r>
        <w:rPr>
          <w:rFonts w:ascii="Aptos" w:hAnsi="Aptos" w:cs="Aptos"/>
          <w:kern w:val="24"/>
          <w:sz w:val="24"/>
          <w:szCs w:val="24"/>
        </w:rPr>
        <w:t xml:space="preserve">have structures in the high-risk flood zones that are of high appraisal </w:t>
      </w:r>
      <w:proofErr w:type="gramStart"/>
      <w:r>
        <w:rPr>
          <w:rFonts w:ascii="Aptos" w:hAnsi="Aptos" w:cs="Aptos"/>
          <w:kern w:val="24"/>
          <w:sz w:val="24"/>
          <w:szCs w:val="24"/>
        </w:rPr>
        <w:t>value</w:t>
      </w:r>
      <w:proofErr w:type="gramEnd"/>
      <w:r>
        <w:rPr>
          <w:rFonts w:ascii="Aptos" w:hAnsi="Aptos" w:cs="Aptos"/>
          <w:kern w:val="24"/>
          <w:sz w:val="24"/>
          <w:szCs w:val="24"/>
        </w:rPr>
        <w:t xml:space="preserve"> and which reside in historical districts.  View the WV Risk Explorer report for more information about these risk factors specific to Jefferson County including rationales and recommendations. </w:t>
      </w:r>
    </w:p>
    <w:p w14:paraId="58EBB6F6" w14:textId="77777777" w:rsidR="00053DFE" w:rsidRDefault="00053DFE" w:rsidP="00053DFE">
      <w:pPr>
        <w:autoSpaceDE w:val="0"/>
        <w:autoSpaceDN w:val="0"/>
        <w:adjustRightInd w:val="0"/>
        <w:spacing w:after="0" w:line="240" w:lineRule="auto"/>
        <w:rPr>
          <w:rFonts w:ascii="Arial" w:hAnsi="Arial" w:cs="Arial"/>
          <w:sz w:val="24"/>
          <w:szCs w:val="24"/>
        </w:rPr>
      </w:pPr>
    </w:p>
    <w:p w14:paraId="24A5DE05" w14:textId="77777777" w:rsidR="00053DFE" w:rsidRDefault="00053DFE" w:rsidP="00053DFE">
      <w:pPr>
        <w:spacing w:line="360" w:lineRule="auto"/>
      </w:pPr>
    </w:p>
    <w:p w14:paraId="0075C4A2" w14:textId="41052E07" w:rsidR="00053DFE" w:rsidRDefault="00053DFE">
      <w:r>
        <w:br w:type="page"/>
      </w:r>
    </w:p>
    <w:p w14:paraId="7EC39EB4" w14:textId="31AC54BB" w:rsidR="00053DFE" w:rsidRDefault="00053DFE" w:rsidP="00053DFE">
      <w:pPr>
        <w:spacing w:line="360" w:lineRule="auto"/>
      </w:pPr>
      <w:r>
        <w:lastRenderedPageBreak/>
        <w:t>Slide 14</w:t>
      </w:r>
    </w:p>
    <w:p w14:paraId="6D4A98CF" w14:textId="77777777" w:rsidR="00053DFE" w:rsidRDefault="00053DFE" w:rsidP="00053DFE">
      <w:pPr>
        <w:spacing w:line="360" w:lineRule="auto"/>
      </w:pPr>
    </w:p>
    <w:p w14:paraId="4D0325C4" w14:textId="1EDA7E43" w:rsidR="00053DFE" w:rsidRDefault="00053DFE" w:rsidP="00053DFE">
      <w:pPr>
        <w:spacing w:line="360" w:lineRule="auto"/>
        <w:jc w:val="center"/>
      </w:pPr>
      <w:r>
        <w:object w:dxaOrig="9605" w:dyaOrig="5393" w14:anchorId="5537DDC4">
          <v:shape id="_x0000_i1038" type="#_x0000_t75" style="width:5in;height:202.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8" DrawAspect="Content" ObjectID="_1798459709" r:id="rId31"/>
        </w:object>
      </w:r>
    </w:p>
    <w:p w14:paraId="5CBF3E38" w14:textId="77777777" w:rsidR="00053DFE" w:rsidRDefault="00053DFE" w:rsidP="00053DFE">
      <w:pPr>
        <w:spacing w:line="360" w:lineRule="auto"/>
        <w:jc w:val="center"/>
      </w:pPr>
    </w:p>
    <w:p w14:paraId="5DE75101" w14:textId="77777777" w:rsidR="00053DFE" w:rsidRDefault="00053DFE" w:rsidP="00053DFE">
      <w:pPr>
        <w:spacing w:line="360" w:lineRule="auto"/>
      </w:pPr>
    </w:p>
    <w:sectPr w:rsidR="00053DF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altName w:val="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DFE"/>
    <w:rsid w:val="00053DFE"/>
    <w:rsid w:val="00511326"/>
    <w:rsid w:val="005A7B1D"/>
    <w:rsid w:val="00D527F2"/>
    <w:rsid w:val="00E16E7B"/>
    <w:rsid w:val="00E43FEE"/>
    <w:rsid w:val="00FB0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14:docId w14:val="0C7927B4"/>
  <w15:chartTrackingRefBased/>
  <w15:docId w15:val="{92A4519A-557A-49DB-A4AA-E7F8D96DC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53DFE"/>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053DFE"/>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053DFE"/>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053DFE"/>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053DFE"/>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053DF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53DF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53DF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53DF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3DFE"/>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053DFE"/>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053DFE"/>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053DFE"/>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053DFE"/>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053DF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53DF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53DF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53DFE"/>
    <w:rPr>
      <w:rFonts w:eastAsiaTheme="majorEastAsia" w:cstheme="majorBidi"/>
      <w:color w:val="272727" w:themeColor="text1" w:themeTint="D8"/>
    </w:rPr>
  </w:style>
  <w:style w:type="paragraph" w:styleId="Title">
    <w:name w:val="Title"/>
    <w:basedOn w:val="Normal"/>
    <w:next w:val="Normal"/>
    <w:link w:val="TitleChar"/>
    <w:uiPriority w:val="10"/>
    <w:qFormat/>
    <w:rsid w:val="00053DF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53DF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53DF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53DF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53DFE"/>
    <w:pPr>
      <w:spacing w:before="160"/>
      <w:jc w:val="center"/>
    </w:pPr>
    <w:rPr>
      <w:i/>
      <w:iCs/>
      <w:color w:val="404040" w:themeColor="text1" w:themeTint="BF"/>
    </w:rPr>
  </w:style>
  <w:style w:type="character" w:customStyle="1" w:styleId="QuoteChar">
    <w:name w:val="Quote Char"/>
    <w:basedOn w:val="DefaultParagraphFont"/>
    <w:link w:val="Quote"/>
    <w:uiPriority w:val="29"/>
    <w:rsid w:val="00053DFE"/>
    <w:rPr>
      <w:i/>
      <w:iCs/>
      <w:color w:val="404040" w:themeColor="text1" w:themeTint="BF"/>
    </w:rPr>
  </w:style>
  <w:style w:type="paragraph" w:styleId="ListParagraph">
    <w:name w:val="List Paragraph"/>
    <w:basedOn w:val="Normal"/>
    <w:uiPriority w:val="34"/>
    <w:qFormat/>
    <w:rsid w:val="00053DFE"/>
    <w:pPr>
      <w:ind w:left="720"/>
      <w:contextualSpacing/>
    </w:pPr>
  </w:style>
  <w:style w:type="character" w:styleId="IntenseEmphasis">
    <w:name w:val="Intense Emphasis"/>
    <w:basedOn w:val="DefaultParagraphFont"/>
    <w:uiPriority w:val="21"/>
    <w:qFormat/>
    <w:rsid w:val="00053DFE"/>
    <w:rPr>
      <w:i/>
      <w:iCs/>
      <w:color w:val="2E74B5" w:themeColor="accent1" w:themeShade="BF"/>
    </w:rPr>
  </w:style>
  <w:style w:type="paragraph" w:styleId="IntenseQuote">
    <w:name w:val="Intense Quote"/>
    <w:basedOn w:val="Normal"/>
    <w:next w:val="Normal"/>
    <w:link w:val="IntenseQuoteChar"/>
    <w:uiPriority w:val="30"/>
    <w:qFormat/>
    <w:rsid w:val="00053DFE"/>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053DFE"/>
    <w:rPr>
      <w:i/>
      <w:iCs/>
      <w:color w:val="2E74B5" w:themeColor="accent1" w:themeShade="BF"/>
    </w:rPr>
  </w:style>
  <w:style w:type="character" w:styleId="IntenseReference">
    <w:name w:val="Intense Reference"/>
    <w:basedOn w:val="DefaultParagraphFont"/>
    <w:uiPriority w:val="32"/>
    <w:qFormat/>
    <w:rsid w:val="00053DFE"/>
    <w:rPr>
      <w:b/>
      <w:bCs/>
      <w:smallCaps/>
      <w:color w:val="2E74B5"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4.sldx"/><Relationship Id="rId18" Type="http://schemas.openxmlformats.org/officeDocument/2006/relationships/image" Target="media/image8.emf"/><Relationship Id="rId26" Type="http://schemas.openxmlformats.org/officeDocument/2006/relationships/image" Target="media/image12.emf"/><Relationship Id="rId3" Type="http://schemas.openxmlformats.org/officeDocument/2006/relationships/webSettings" Target="webSettings.xml"/><Relationship Id="rId21" Type="http://schemas.openxmlformats.org/officeDocument/2006/relationships/package" Target="embeddings/Microsoft_PowerPoint_Slide8.sldx"/><Relationship Id="rId7" Type="http://schemas.openxmlformats.org/officeDocument/2006/relationships/package" Target="embeddings/Microsoft_PowerPoint_Slide1.sldx"/><Relationship Id="rId12" Type="http://schemas.openxmlformats.org/officeDocument/2006/relationships/image" Target="media/image5.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package" Target="embeddings/Microsoft_PowerPoint_Slide12.sldx"/><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package" Target="embeddings/Microsoft_PowerPoint_Slide3.sldx"/><Relationship Id="rId24" Type="http://schemas.openxmlformats.org/officeDocument/2006/relationships/image" Target="media/image11.emf"/><Relationship Id="rId32" Type="http://schemas.openxmlformats.org/officeDocument/2006/relationships/fontTable" Target="fontTable.xml"/><Relationship Id="rId5" Type="http://schemas.openxmlformats.org/officeDocument/2006/relationships/package" Target="embeddings/Microsoft_PowerPoint_Slide.sldx"/><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3.emf"/><Relationship Id="rId10" Type="http://schemas.openxmlformats.org/officeDocument/2006/relationships/image" Target="media/image4.emf"/><Relationship Id="rId19" Type="http://schemas.openxmlformats.org/officeDocument/2006/relationships/package" Target="embeddings/Microsoft_PowerPoint_Slide7.sldx"/><Relationship Id="rId31" Type="http://schemas.openxmlformats.org/officeDocument/2006/relationships/package" Target="embeddings/Microsoft_PowerPoint_Slide13.sldx"/><Relationship Id="rId4" Type="http://schemas.openxmlformats.org/officeDocument/2006/relationships/image" Target="media/image1.emf"/><Relationship Id="rId9" Type="http://schemas.openxmlformats.org/officeDocument/2006/relationships/package" Target="embeddings/Microsoft_PowerPoint_Slide2.sldx"/><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package" Target="embeddings/Microsoft_PowerPoint_Slide11.sldx"/><Relationship Id="rId30" Type="http://schemas.openxmlformats.org/officeDocument/2006/relationships/image" Target="media/image14.emf"/><Relationship Id="rId8"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15</Pages>
  <Words>1168</Words>
  <Characters>7236</Characters>
  <Application>Microsoft Office Word</Application>
  <DocSecurity>0</DocSecurity>
  <Lines>241</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Kurt Donaldson</dc:creator>
  <cp:keywords/>
  <dc:description/>
  <cp:lastModifiedBy>Kurt Donaldson</cp:lastModifiedBy>
  <cp:revision>2</cp:revision>
  <dcterms:created xsi:type="dcterms:W3CDTF">2025-01-13T21:57:00Z</dcterms:created>
  <dcterms:modified xsi:type="dcterms:W3CDTF">2025-01-15T19:19:00Z</dcterms:modified>
</cp:coreProperties>
</file>